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B90F" w14:textId="157DEC86" w:rsidR="00AF398E" w:rsidRDefault="00AF398E" w:rsidP="00AF39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8FFF" wp14:editId="2EBCD49C">
                <wp:simplePos x="0" y="0"/>
                <wp:positionH relativeFrom="column">
                  <wp:posOffset>-59267</wp:posOffset>
                </wp:positionH>
                <wp:positionV relativeFrom="paragraph">
                  <wp:posOffset>-186902</wp:posOffset>
                </wp:positionV>
                <wp:extent cx="5985934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934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6088E" w14:textId="77777777" w:rsidR="00AF398E" w:rsidRDefault="00AF398E" w:rsidP="00AF398E">
                            <w:pPr>
                              <w:jc w:val="center"/>
                            </w:pPr>
                            <w:r>
                              <w:t>REFERENCES USED IN ALGORITHMS FOR THE TREATMENT OF PERSONS WITH</w:t>
                            </w:r>
                          </w:p>
                          <w:p w14:paraId="5063169D" w14:textId="77777777" w:rsidR="00AF398E" w:rsidRDefault="00AF398E" w:rsidP="00AF398E">
                            <w:pPr>
                              <w:jc w:val="center"/>
                            </w:pPr>
                            <w:r>
                              <w:t>TYPE 2 DIABETES</w:t>
                            </w:r>
                          </w:p>
                          <w:p w14:paraId="537A3301" w14:textId="77777777" w:rsidR="00AF398E" w:rsidRDefault="00AF3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8F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65pt;margin-top:-14.7pt;width:471.3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" fillcolor="#b4c6e7 [1300]" stroked="f" strokeweight=".5pt">
                <v:textbox>
                  <w:txbxContent>
                    <w:p w14:paraId="6766088E" w14:textId="77777777" w:rsidR="00AF398E" w:rsidRDefault="00AF398E" w:rsidP="00AF398E">
                      <w:pPr>
                        <w:jc w:val="center"/>
                      </w:pPr>
                      <w:r>
                        <w:t>REFERENCES USED IN ALGORITHMS FOR THE TREATMENT OF PERSONS WITH</w:t>
                      </w:r>
                    </w:p>
                    <w:p w14:paraId="5063169D" w14:textId="77777777" w:rsidR="00AF398E" w:rsidRDefault="00AF398E" w:rsidP="00AF398E">
                      <w:pPr>
                        <w:jc w:val="center"/>
                      </w:pPr>
                      <w:r>
                        <w:t>TYPE 2 DIABETES</w:t>
                      </w:r>
                    </w:p>
                    <w:p w14:paraId="537A3301" w14:textId="77777777" w:rsidR="00AF398E" w:rsidRDefault="00AF398E"/>
                  </w:txbxContent>
                </v:textbox>
              </v:shape>
            </w:pict>
          </mc:Fallback>
        </mc:AlternateContent>
      </w:r>
    </w:p>
    <w:p w14:paraId="4E4506DF" w14:textId="77777777" w:rsidR="00AF398E" w:rsidRPr="00AF398E" w:rsidRDefault="00AF398E" w:rsidP="00AF398E">
      <w:pPr>
        <w:pStyle w:val="ListParagraph"/>
        <w:spacing w:before="120" w:after="120"/>
        <w:ind w:left="851"/>
        <w:rPr>
          <w:sz w:val="20"/>
          <w:szCs w:val="20"/>
        </w:rPr>
      </w:pPr>
    </w:p>
    <w:p w14:paraId="7DB811C0" w14:textId="54DE52ED" w:rsidR="007F0901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7F0901">
        <w:rPr>
          <w:b/>
          <w:bCs/>
          <w:sz w:val="20"/>
          <w:szCs w:val="20"/>
          <w:lang w:val="en-US"/>
        </w:rPr>
        <w:t>9. Pharmacologic Approaches to Glycemic Treatment: Standards of Medical Care in Diabetes-2021</w:t>
      </w:r>
      <w:r w:rsidRPr="007F0901">
        <w:rPr>
          <w:sz w:val="20"/>
          <w:szCs w:val="20"/>
          <w:lang w:val="en-US"/>
        </w:rPr>
        <w:t>. </w:t>
      </w:r>
      <w:r w:rsidRPr="007F0901">
        <w:rPr>
          <w:i/>
          <w:iCs/>
          <w:sz w:val="20"/>
          <w:szCs w:val="20"/>
          <w:lang w:val="en-US"/>
        </w:rPr>
        <w:t>Diabetes Care </w:t>
      </w:r>
      <w:r w:rsidRPr="007F0901">
        <w:rPr>
          <w:sz w:val="20"/>
          <w:szCs w:val="20"/>
          <w:lang w:val="en-US"/>
        </w:rPr>
        <w:t>2021, </w:t>
      </w:r>
      <w:r w:rsidRPr="007F0901">
        <w:rPr>
          <w:b/>
          <w:bCs/>
          <w:sz w:val="20"/>
          <w:szCs w:val="20"/>
          <w:lang w:val="en-US"/>
        </w:rPr>
        <w:t>44</w:t>
      </w:r>
      <w:r w:rsidRPr="007F0901">
        <w:rPr>
          <w:sz w:val="20"/>
          <w:szCs w:val="20"/>
          <w:lang w:val="en-US"/>
        </w:rPr>
        <w:t>(Suppl 1):S111-s124.</w:t>
      </w:r>
      <w:r w:rsidRPr="007F0901">
        <w:rPr>
          <w:sz w:val="20"/>
          <w:szCs w:val="20"/>
        </w:rPr>
        <w:t> </w:t>
      </w:r>
    </w:p>
    <w:p w14:paraId="70202084" w14:textId="77777777" w:rsidR="00CF2D71" w:rsidRDefault="00CF2D71" w:rsidP="00CF2D71">
      <w:pPr>
        <w:pStyle w:val="ListParagraph"/>
        <w:ind w:left="851"/>
        <w:rPr>
          <w:sz w:val="20"/>
          <w:szCs w:val="20"/>
        </w:rPr>
      </w:pPr>
    </w:p>
    <w:p w14:paraId="0F3DDC02" w14:textId="1B8C60AA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7F0901">
        <w:rPr>
          <w:sz w:val="20"/>
          <w:szCs w:val="20"/>
          <w:lang w:val="en-US"/>
        </w:rPr>
        <w:t xml:space="preserve">Lipscombe L, </w:t>
      </w:r>
      <w:proofErr w:type="spellStart"/>
      <w:r w:rsidRPr="007F0901">
        <w:rPr>
          <w:sz w:val="20"/>
          <w:szCs w:val="20"/>
          <w:lang w:val="en-US"/>
        </w:rPr>
        <w:t>Butalia</w:t>
      </w:r>
      <w:proofErr w:type="spellEnd"/>
      <w:r w:rsidRPr="007F0901">
        <w:rPr>
          <w:sz w:val="20"/>
          <w:szCs w:val="20"/>
          <w:lang w:val="en-US"/>
        </w:rPr>
        <w:t xml:space="preserve"> S, Dasgupta K, </w:t>
      </w:r>
      <w:proofErr w:type="spellStart"/>
      <w:r w:rsidRPr="007F0901">
        <w:rPr>
          <w:sz w:val="20"/>
          <w:szCs w:val="20"/>
          <w:lang w:val="en-US"/>
        </w:rPr>
        <w:t>Eurich</w:t>
      </w:r>
      <w:proofErr w:type="spellEnd"/>
      <w:r w:rsidRPr="007F0901">
        <w:rPr>
          <w:sz w:val="20"/>
          <w:szCs w:val="20"/>
          <w:lang w:val="en-US"/>
        </w:rPr>
        <w:t xml:space="preserve"> DT, MacCallum L, Shah BR, Simpson S, Senior PA: </w:t>
      </w:r>
      <w:r w:rsidRPr="007F0901">
        <w:rPr>
          <w:b/>
          <w:bCs/>
          <w:sz w:val="20"/>
          <w:szCs w:val="20"/>
          <w:lang w:val="en-US"/>
        </w:rPr>
        <w:t>Pharmacologic Glycemic Management of Type 2 Diabetes in Adults: 2020 Update</w:t>
      </w:r>
      <w:r w:rsidRPr="007F0901">
        <w:rPr>
          <w:sz w:val="20"/>
          <w:szCs w:val="20"/>
          <w:lang w:val="en-US"/>
        </w:rPr>
        <w:t>. </w:t>
      </w:r>
      <w:r w:rsidRPr="007F0901">
        <w:rPr>
          <w:i/>
          <w:iCs/>
          <w:sz w:val="20"/>
          <w:szCs w:val="20"/>
          <w:lang w:val="en-US"/>
        </w:rPr>
        <w:t>Can J Diabetes </w:t>
      </w:r>
      <w:r w:rsidRPr="007F0901">
        <w:rPr>
          <w:sz w:val="20"/>
          <w:szCs w:val="20"/>
          <w:lang w:val="en-US"/>
        </w:rPr>
        <w:t>2020, </w:t>
      </w:r>
      <w:r w:rsidRPr="007F0901">
        <w:rPr>
          <w:b/>
          <w:bCs/>
          <w:sz w:val="20"/>
          <w:szCs w:val="20"/>
          <w:lang w:val="en-US"/>
        </w:rPr>
        <w:t>44</w:t>
      </w:r>
      <w:r w:rsidRPr="007F0901">
        <w:rPr>
          <w:sz w:val="20"/>
          <w:szCs w:val="20"/>
          <w:lang w:val="en-US"/>
        </w:rPr>
        <w:t>(7):575-591.</w:t>
      </w:r>
      <w:r w:rsidRPr="007F0901">
        <w:rPr>
          <w:sz w:val="20"/>
          <w:szCs w:val="20"/>
        </w:rPr>
        <w:t> </w:t>
      </w:r>
    </w:p>
    <w:p w14:paraId="73652535" w14:textId="77777777" w:rsidR="00CF2D71" w:rsidRPr="00CF2D71" w:rsidRDefault="00CF2D71" w:rsidP="00CF2D71">
      <w:pPr>
        <w:rPr>
          <w:sz w:val="20"/>
          <w:szCs w:val="20"/>
        </w:rPr>
      </w:pPr>
    </w:p>
    <w:p w14:paraId="6A10CC76" w14:textId="4863E7E9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Garber AJ, </w:t>
      </w:r>
      <w:proofErr w:type="spellStart"/>
      <w:r w:rsidRPr="006313E8">
        <w:rPr>
          <w:sz w:val="20"/>
          <w:szCs w:val="20"/>
          <w:lang w:val="en-US"/>
        </w:rPr>
        <w:t>Handelsman</w:t>
      </w:r>
      <w:proofErr w:type="spellEnd"/>
      <w:r w:rsidRPr="006313E8">
        <w:rPr>
          <w:sz w:val="20"/>
          <w:szCs w:val="20"/>
          <w:lang w:val="en-US"/>
        </w:rPr>
        <w:t xml:space="preserve"> Y, </w:t>
      </w:r>
      <w:proofErr w:type="spellStart"/>
      <w:r w:rsidRPr="006313E8">
        <w:rPr>
          <w:sz w:val="20"/>
          <w:szCs w:val="20"/>
          <w:lang w:val="en-US"/>
        </w:rPr>
        <w:t>Grunberger</w:t>
      </w:r>
      <w:proofErr w:type="spellEnd"/>
      <w:r w:rsidRPr="006313E8">
        <w:rPr>
          <w:sz w:val="20"/>
          <w:szCs w:val="20"/>
          <w:lang w:val="en-US"/>
        </w:rPr>
        <w:t xml:space="preserve"> G, Einhorn D, Abrahamson MJ, </w:t>
      </w:r>
      <w:proofErr w:type="spellStart"/>
      <w:r w:rsidRPr="006313E8">
        <w:rPr>
          <w:sz w:val="20"/>
          <w:szCs w:val="20"/>
          <w:lang w:val="en-US"/>
        </w:rPr>
        <w:t>Barzilay</w:t>
      </w:r>
      <w:proofErr w:type="spellEnd"/>
      <w:r w:rsidRPr="006313E8">
        <w:rPr>
          <w:sz w:val="20"/>
          <w:szCs w:val="20"/>
          <w:lang w:val="en-US"/>
        </w:rPr>
        <w:t xml:space="preserve"> JI, Blonde L, Bush MA, </w:t>
      </w:r>
      <w:proofErr w:type="spellStart"/>
      <w:r w:rsidRPr="006313E8">
        <w:rPr>
          <w:sz w:val="20"/>
          <w:szCs w:val="20"/>
          <w:lang w:val="en-US"/>
        </w:rPr>
        <w:t>DeFronzo</w:t>
      </w:r>
      <w:proofErr w:type="spellEnd"/>
      <w:r w:rsidRPr="006313E8">
        <w:rPr>
          <w:sz w:val="20"/>
          <w:szCs w:val="20"/>
          <w:lang w:val="en-US"/>
        </w:rPr>
        <w:t xml:space="preserve"> RA, Garber JR</w:t>
      </w:r>
      <w:r w:rsidRPr="006313E8">
        <w:rPr>
          <w:i/>
          <w:iCs/>
          <w:sz w:val="20"/>
          <w:szCs w:val="20"/>
          <w:lang w:val="en-US"/>
        </w:rPr>
        <w:t> et al</w:t>
      </w:r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CONSENSUS STATEMENT BY THE AMERICAN ASSOCIATION OF CLINICAL ENDOCRINOLOGISTS AND AMERICAN COLLEGE OF ENDOCRINOLOGY ON THE COMPREHENSIVE TYPE 2 DIABETES MANAGEMENT ALGORITHM - 2020 EXECUTIVE SUMMARY</w:t>
      </w:r>
      <w:r w:rsidRPr="006313E8">
        <w:rPr>
          <w:sz w:val="20"/>
          <w:szCs w:val="20"/>
          <w:lang w:val="en-US"/>
        </w:rPr>
        <w:t>. </w:t>
      </w:r>
      <w:proofErr w:type="spellStart"/>
      <w:r w:rsidRPr="006313E8">
        <w:rPr>
          <w:i/>
          <w:iCs/>
          <w:sz w:val="20"/>
          <w:szCs w:val="20"/>
          <w:lang w:val="en-US"/>
        </w:rPr>
        <w:t>Endocr</w:t>
      </w:r>
      <w:proofErr w:type="spellEnd"/>
      <w:r w:rsidRPr="006313E8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6313E8">
        <w:rPr>
          <w:i/>
          <w:iCs/>
          <w:sz w:val="20"/>
          <w:szCs w:val="20"/>
          <w:lang w:val="en-US"/>
        </w:rPr>
        <w:t>Pract</w:t>
      </w:r>
      <w:proofErr w:type="spellEnd"/>
      <w:r w:rsidRPr="006313E8">
        <w:rPr>
          <w:i/>
          <w:iCs/>
          <w:sz w:val="20"/>
          <w:szCs w:val="20"/>
          <w:lang w:val="en-US"/>
        </w:rPr>
        <w:t> </w:t>
      </w:r>
      <w:r w:rsidRPr="006313E8">
        <w:rPr>
          <w:sz w:val="20"/>
          <w:szCs w:val="20"/>
          <w:lang w:val="en-US"/>
        </w:rPr>
        <w:t>2020, </w:t>
      </w:r>
      <w:r w:rsidRPr="006313E8">
        <w:rPr>
          <w:b/>
          <w:bCs/>
          <w:sz w:val="20"/>
          <w:szCs w:val="20"/>
          <w:lang w:val="en-US"/>
        </w:rPr>
        <w:t>26</w:t>
      </w:r>
      <w:r w:rsidRPr="006313E8">
        <w:rPr>
          <w:sz w:val="20"/>
          <w:szCs w:val="20"/>
          <w:lang w:val="en-US"/>
        </w:rPr>
        <w:t>(1):107-139.</w:t>
      </w:r>
      <w:r w:rsidRPr="006313E8">
        <w:rPr>
          <w:sz w:val="20"/>
          <w:szCs w:val="20"/>
        </w:rPr>
        <w:t> </w:t>
      </w:r>
    </w:p>
    <w:p w14:paraId="3BC4AB10" w14:textId="77777777" w:rsidR="00CF2D71" w:rsidRPr="00CF2D71" w:rsidRDefault="00CF2D71" w:rsidP="00CF2D71">
      <w:pPr>
        <w:rPr>
          <w:sz w:val="20"/>
          <w:szCs w:val="20"/>
        </w:rPr>
      </w:pPr>
    </w:p>
    <w:p w14:paraId="0FC8023C" w14:textId="5522D131" w:rsidR="00AF398E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Department of Veterans Affairs/Department of Defense: </w:t>
      </w:r>
      <w:r w:rsidRPr="006313E8">
        <w:rPr>
          <w:b/>
          <w:bCs/>
          <w:sz w:val="20"/>
          <w:szCs w:val="20"/>
          <w:lang w:val="en-US"/>
        </w:rPr>
        <w:t>VA/DoD Clinical Practice Guideline for the Management of Type 2 Diabetes Mellitus in Primary Care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; 2017.</w:t>
      </w:r>
      <w:r w:rsidRPr="006313E8">
        <w:rPr>
          <w:sz w:val="20"/>
          <w:szCs w:val="20"/>
        </w:rPr>
        <w:t> </w:t>
      </w:r>
    </w:p>
    <w:p w14:paraId="33C01CD8" w14:textId="77777777" w:rsidR="00CF2D71" w:rsidRPr="00CF2D71" w:rsidRDefault="00CF2D71" w:rsidP="00CF2D71">
      <w:pPr>
        <w:rPr>
          <w:sz w:val="20"/>
          <w:szCs w:val="20"/>
        </w:rPr>
      </w:pPr>
    </w:p>
    <w:p w14:paraId="71179AB0" w14:textId="701C1002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Diabetes_Canada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2018 Clinical Practice Guidelines Committees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Canadian Journal of Diabetes </w:t>
      </w:r>
      <w:r w:rsidRPr="006313E8">
        <w:rPr>
          <w:sz w:val="20"/>
          <w:szCs w:val="20"/>
          <w:lang w:val="en-US"/>
        </w:rPr>
        <w:t>2018, </w:t>
      </w:r>
      <w:r w:rsidRPr="006313E8">
        <w:rPr>
          <w:b/>
          <w:bCs/>
          <w:sz w:val="20"/>
          <w:szCs w:val="20"/>
          <w:lang w:val="en-US"/>
        </w:rPr>
        <w:t>42</w:t>
      </w:r>
      <w:r w:rsidRPr="006313E8">
        <w:rPr>
          <w:sz w:val="20"/>
          <w:szCs w:val="20"/>
          <w:lang w:val="en-US"/>
        </w:rPr>
        <w:t>.</w:t>
      </w:r>
      <w:r w:rsidRPr="006313E8">
        <w:rPr>
          <w:sz w:val="20"/>
          <w:szCs w:val="20"/>
        </w:rPr>
        <w:t> </w:t>
      </w:r>
    </w:p>
    <w:p w14:paraId="7F9F01CD" w14:textId="77777777" w:rsidR="00BF298B" w:rsidRPr="00BF298B" w:rsidRDefault="00BF298B" w:rsidP="00BF298B">
      <w:pPr>
        <w:rPr>
          <w:sz w:val="20"/>
          <w:szCs w:val="20"/>
        </w:rPr>
      </w:pPr>
    </w:p>
    <w:p w14:paraId="31964A80" w14:textId="797C5AC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American Diabetes Association: </w:t>
      </w:r>
      <w:r w:rsidRPr="006313E8">
        <w:rPr>
          <w:b/>
          <w:bCs/>
          <w:sz w:val="20"/>
          <w:szCs w:val="20"/>
          <w:lang w:val="en-US"/>
        </w:rPr>
        <w:t>Standards of Medical Care in Diabetes -2019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The Journal of Clinical and Applied Research and Education </w:t>
      </w:r>
      <w:r w:rsidRPr="006313E8">
        <w:rPr>
          <w:sz w:val="20"/>
          <w:szCs w:val="20"/>
          <w:lang w:val="en-US"/>
        </w:rPr>
        <w:t>2019, </w:t>
      </w:r>
      <w:r w:rsidRPr="006313E8">
        <w:rPr>
          <w:b/>
          <w:bCs/>
          <w:sz w:val="20"/>
          <w:szCs w:val="20"/>
          <w:lang w:val="en-US"/>
        </w:rPr>
        <w:t>42</w:t>
      </w:r>
      <w:r w:rsidRPr="006313E8">
        <w:rPr>
          <w:sz w:val="20"/>
          <w:szCs w:val="20"/>
          <w:lang w:val="en-US"/>
        </w:rPr>
        <w:t>.</w:t>
      </w:r>
      <w:r w:rsidRPr="006313E8">
        <w:rPr>
          <w:sz w:val="20"/>
          <w:szCs w:val="20"/>
        </w:rPr>
        <w:t> </w:t>
      </w:r>
    </w:p>
    <w:p w14:paraId="32B38938" w14:textId="77777777" w:rsidR="004D3A04" w:rsidRPr="004D3A04" w:rsidRDefault="004D3A04" w:rsidP="004D3A04">
      <w:pPr>
        <w:rPr>
          <w:sz w:val="20"/>
          <w:szCs w:val="20"/>
        </w:rPr>
      </w:pPr>
    </w:p>
    <w:p w14:paraId="6DB4CE03" w14:textId="7DC91A0E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Marso</w:t>
      </w:r>
      <w:proofErr w:type="spellEnd"/>
      <w:r w:rsidRPr="006313E8">
        <w:rPr>
          <w:sz w:val="20"/>
          <w:szCs w:val="20"/>
          <w:lang w:val="en-US"/>
        </w:rPr>
        <w:t xml:space="preserve"> SP BS, </w:t>
      </w:r>
      <w:proofErr w:type="spellStart"/>
      <w:r w:rsidRPr="006313E8">
        <w:rPr>
          <w:sz w:val="20"/>
          <w:szCs w:val="20"/>
          <w:lang w:val="en-US"/>
        </w:rPr>
        <w:t>Consoli</w:t>
      </w:r>
      <w:proofErr w:type="spellEnd"/>
      <w:r w:rsidRPr="006313E8">
        <w:rPr>
          <w:sz w:val="20"/>
          <w:szCs w:val="20"/>
          <w:lang w:val="en-US"/>
        </w:rPr>
        <w:t xml:space="preserve"> A, </w:t>
      </w:r>
      <w:proofErr w:type="spellStart"/>
      <w:r w:rsidRPr="006313E8">
        <w:rPr>
          <w:sz w:val="20"/>
          <w:szCs w:val="20"/>
          <w:lang w:val="en-US"/>
        </w:rPr>
        <w:t>Eliaschewitz</w:t>
      </w:r>
      <w:proofErr w:type="spellEnd"/>
      <w:r w:rsidRPr="006313E8">
        <w:rPr>
          <w:sz w:val="20"/>
          <w:szCs w:val="20"/>
          <w:lang w:val="en-US"/>
        </w:rPr>
        <w:t xml:space="preserve"> FG, </w:t>
      </w:r>
      <w:proofErr w:type="spellStart"/>
      <w:r w:rsidRPr="006313E8">
        <w:rPr>
          <w:sz w:val="20"/>
          <w:szCs w:val="20"/>
          <w:lang w:val="en-US"/>
        </w:rPr>
        <w:t>Jódar</w:t>
      </w:r>
      <w:proofErr w:type="spellEnd"/>
      <w:r w:rsidRPr="006313E8">
        <w:rPr>
          <w:sz w:val="20"/>
          <w:szCs w:val="20"/>
          <w:lang w:val="en-US"/>
        </w:rPr>
        <w:t xml:space="preserve"> E, Leiter LA, </w:t>
      </w:r>
      <w:proofErr w:type="spellStart"/>
      <w:r w:rsidRPr="006313E8">
        <w:rPr>
          <w:sz w:val="20"/>
          <w:szCs w:val="20"/>
          <w:lang w:val="en-US"/>
        </w:rPr>
        <w:t>Lingvay</w:t>
      </w:r>
      <w:proofErr w:type="spellEnd"/>
      <w:r w:rsidRPr="006313E8">
        <w:rPr>
          <w:sz w:val="20"/>
          <w:szCs w:val="20"/>
          <w:lang w:val="en-US"/>
        </w:rPr>
        <w:t xml:space="preserve"> I, Rosenstock J, Seufert J, Warren ML, Woo V, Hansen O, Holst AG, </w:t>
      </w:r>
      <w:proofErr w:type="spellStart"/>
      <w:r w:rsidRPr="006313E8">
        <w:rPr>
          <w:sz w:val="20"/>
          <w:szCs w:val="20"/>
          <w:lang w:val="en-US"/>
        </w:rPr>
        <w:t>Pettersson</w:t>
      </w:r>
      <w:proofErr w:type="spellEnd"/>
      <w:r w:rsidRPr="006313E8">
        <w:rPr>
          <w:sz w:val="20"/>
          <w:szCs w:val="20"/>
          <w:lang w:val="en-US"/>
        </w:rPr>
        <w:t xml:space="preserve"> J, </w:t>
      </w:r>
      <w:proofErr w:type="spellStart"/>
      <w:r w:rsidRPr="006313E8">
        <w:rPr>
          <w:sz w:val="20"/>
          <w:szCs w:val="20"/>
          <w:lang w:val="en-US"/>
        </w:rPr>
        <w:t>Vilsbøll</w:t>
      </w:r>
      <w:proofErr w:type="spellEnd"/>
      <w:r w:rsidRPr="006313E8">
        <w:rPr>
          <w:sz w:val="20"/>
          <w:szCs w:val="20"/>
          <w:lang w:val="en-US"/>
        </w:rPr>
        <w:t xml:space="preserve"> T: </w:t>
      </w:r>
      <w:proofErr w:type="spellStart"/>
      <w:r w:rsidRPr="006313E8">
        <w:rPr>
          <w:b/>
          <w:bCs/>
          <w:sz w:val="20"/>
          <w:szCs w:val="20"/>
          <w:lang w:val="en-US"/>
        </w:rPr>
        <w:t>Semaglutide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and Cardiovascular Outcomes in Patients with Type 2 Diabetes.</w:t>
      </w:r>
      <w:r w:rsidRPr="006313E8">
        <w:rPr>
          <w:sz w:val="20"/>
          <w:szCs w:val="20"/>
          <w:lang w:val="en-US"/>
        </w:rPr>
        <w:t> </w:t>
      </w:r>
      <w:r w:rsidRPr="006313E8">
        <w:rPr>
          <w:i/>
          <w:iCs/>
          <w:sz w:val="20"/>
          <w:szCs w:val="20"/>
          <w:lang w:val="en-US"/>
        </w:rPr>
        <w:t xml:space="preserve">N </w:t>
      </w:r>
      <w:proofErr w:type="spellStart"/>
      <w:r w:rsidRPr="006313E8">
        <w:rPr>
          <w:i/>
          <w:iCs/>
          <w:sz w:val="20"/>
          <w:szCs w:val="20"/>
          <w:lang w:val="en-US"/>
        </w:rPr>
        <w:t>Engl</w:t>
      </w:r>
      <w:proofErr w:type="spellEnd"/>
      <w:r w:rsidRPr="006313E8">
        <w:rPr>
          <w:i/>
          <w:iCs/>
          <w:sz w:val="20"/>
          <w:szCs w:val="20"/>
          <w:lang w:val="en-US"/>
        </w:rPr>
        <w:t xml:space="preserve"> J Med </w:t>
      </w:r>
      <w:r w:rsidRPr="006313E8">
        <w:rPr>
          <w:sz w:val="20"/>
          <w:szCs w:val="20"/>
          <w:lang w:val="en-US"/>
        </w:rPr>
        <w:t>2016, </w:t>
      </w:r>
      <w:r w:rsidRPr="006313E8">
        <w:rPr>
          <w:b/>
          <w:bCs/>
          <w:sz w:val="20"/>
          <w:szCs w:val="20"/>
          <w:lang w:val="en-US"/>
        </w:rPr>
        <w:t>375</w:t>
      </w:r>
      <w:r w:rsidRPr="006313E8">
        <w:rPr>
          <w:sz w:val="20"/>
          <w:szCs w:val="20"/>
          <w:lang w:val="en-US"/>
        </w:rPr>
        <w:t>(19):1834-1844.</w:t>
      </w:r>
      <w:r w:rsidRPr="006313E8">
        <w:rPr>
          <w:sz w:val="20"/>
          <w:szCs w:val="20"/>
        </w:rPr>
        <w:t> </w:t>
      </w:r>
    </w:p>
    <w:p w14:paraId="26F98452" w14:textId="77777777" w:rsidR="004D3A04" w:rsidRPr="004D3A04" w:rsidRDefault="004D3A04" w:rsidP="004D3A04">
      <w:pPr>
        <w:rPr>
          <w:sz w:val="20"/>
          <w:szCs w:val="20"/>
        </w:rPr>
      </w:pPr>
    </w:p>
    <w:p w14:paraId="4C504E29" w14:textId="1997FAAA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Husain M BA, </w:t>
      </w:r>
      <w:proofErr w:type="spellStart"/>
      <w:r w:rsidRPr="006313E8">
        <w:rPr>
          <w:sz w:val="20"/>
          <w:szCs w:val="20"/>
          <w:lang w:val="en-US"/>
        </w:rPr>
        <w:t>Donsmark</w:t>
      </w:r>
      <w:proofErr w:type="spellEnd"/>
      <w:r w:rsidRPr="006313E8">
        <w:rPr>
          <w:sz w:val="20"/>
          <w:szCs w:val="20"/>
          <w:lang w:val="en-US"/>
        </w:rPr>
        <w:t xml:space="preserve"> M, Dungan K, </w:t>
      </w:r>
      <w:proofErr w:type="spellStart"/>
      <w:r w:rsidRPr="006313E8">
        <w:rPr>
          <w:sz w:val="20"/>
          <w:szCs w:val="20"/>
          <w:lang w:val="en-US"/>
        </w:rPr>
        <w:t>Eliaschewitz</w:t>
      </w:r>
      <w:proofErr w:type="spellEnd"/>
      <w:r w:rsidRPr="006313E8">
        <w:rPr>
          <w:sz w:val="20"/>
          <w:szCs w:val="20"/>
          <w:lang w:val="en-US"/>
        </w:rPr>
        <w:t xml:space="preserve"> FG, Franco DR, Jeppesen OK, </w:t>
      </w:r>
      <w:proofErr w:type="spellStart"/>
      <w:r w:rsidRPr="006313E8">
        <w:rPr>
          <w:sz w:val="20"/>
          <w:szCs w:val="20"/>
          <w:lang w:val="en-US"/>
        </w:rPr>
        <w:t>Lingvay</w:t>
      </w:r>
      <w:proofErr w:type="spellEnd"/>
      <w:r w:rsidRPr="006313E8">
        <w:rPr>
          <w:sz w:val="20"/>
          <w:szCs w:val="20"/>
          <w:lang w:val="en-US"/>
        </w:rPr>
        <w:t xml:space="preserve"> I, </w:t>
      </w:r>
      <w:proofErr w:type="spellStart"/>
      <w:r w:rsidRPr="006313E8">
        <w:rPr>
          <w:sz w:val="20"/>
          <w:szCs w:val="20"/>
          <w:lang w:val="en-US"/>
        </w:rPr>
        <w:t>Mosenzon</w:t>
      </w:r>
      <w:proofErr w:type="spellEnd"/>
      <w:r w:rsidRPr="006313E8">
        <w:rPr>
          <w:sz w:val="20"/>
          <w:szCs w:val="20"/>
          <w:lang w:val="en-US"/>
        </w:rPr>
        <w:t xml:space="preserve"> O, Pedersen SD, Tack CJ, Thomsen M, </w:t>
      </w:r>
      <w:proofErr w:type="spellStart"/>
      <w:r w:rsidRPr="006313E8">
        <w:rPr>
          <w:sz w:val="20"/>
          <w:szCs w:val="20"/>
          <w:lang w:val="en-US"/>
        </w:rPr>
        <w:t>Vilsbøll</w:t>
      </w:r>
      <w:proofErr w:type="spellEnd"/>
      <w:r w:rsidRPr="006313E8">
        <w:rPr>
          <w:sz w:val="20"/>
          <w:szCs w:val="20"/>
          <w:lang w:val="en-US"/>
        </w:rPr>
        <w:t xml:space="preserve"> T, Warren ML, Bain SC: </w:t>
      </w:r>
      <w:r w:rsidRPr="006313E8">
        <w:rPr>
          <w:b/>
          <w:bCs/>
          <w:sz w:val="20"/>
          <w:szCs w:val="20"/>
          <w:lang w:val="en-US"/>
        </w:rPr>
        <w:t xml:space="preserve">Oral </w:t>
      </w:r>
      <w:proofErr w:type="spellStart"/>
      <w:r w:rsidRPr="006313E8">
        <w:rPr>
          <w:b/>
          <w:bCs/>
          <w:sz w:val="20"/>
          <w:szCs w:val="20"/>
          <w:lang w:val="en-US"/>
        </w:rPr>
        <w:t>Semaglutide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and Cardiovascular Outcomes in Patients with Type 2 Diabetes.</w:t>
      </w:r>
      <w:r w:rsidRPr="006313E8">
        <w:rPr>
          <w:sz w:val="20"/>
          <w:szCs w:val="20"/>
          <w:lang w:val="en-US"/>
        </w:rPr>
        <w:t> </w:t>
      </w:r>
      <w:r w:rsidRPr="006313E8">
        <w:rPr>
          <w:i/>
          <w:iCs/>
          <w:sz w:val="20"/>
          <w:szCs w:val="20"/>
          <w:lang w:val="en-US"/>
        </w:rPr>
        <w:t xml:space="preserve">N </w:t>
      </w:r>
      <w:proofErr w:type="spellStart"/>
      <w:r w:rsidRPr="006313E8">
        <w:rPr>
          <w:i/>
          <w:iCs/>
          <w:sz w:val="20"/>
          <w:szCs w:val="20"/>
          <w:lang w:val="en-US"/>
        </w:rPr>
        <w:t>Engl</w:t>
      </w:r>
      <w:proofErr w:type="spellEnd"/>
      <w:r w:rsidRPr="006313E8">
        <w:rPr>
          <w:i/>
          <w:iCs/>
          <w:sz w:val="20"/>
          <w:szCs w:val="20"/>
          <w:lang w:val="en-US"/>
        </w:rPr>
        <w:t xml:space="preserve"> J Med </w:t>
      </w:r>
      <w:r w:rsidRPr="006313E8">
        <w:rPr>
          <w:sz w:val="20"/>
          <w:szCs w:val="20"/>
          <w:lang w:val="en-US"/>
        </w:rPr>
        <w:t>2019, </w:t>
      </w:r>
      <w:r w:rsidRPr="006313E8">
        <w:rPr>
          <w:b/>
          <w:bCs/>
          <w:sz w:val="20"/>
          <w:szCs w:val="20"/>
          <w:lang w:val="en-US"/>
        </w:rPr>
        <w:t>381</w:t>
      </w:r>
      <w:r w:rsidRPr="006313E8">
        <w:rPr>
          <w:sz w:val="20"/>
          <w:szCs w:val="20"/>
          <w:lang w:val="en-US"/>
        </w:rPr>
        <w:t>(9):841-851.</w:t>
      </w:r>
      <w:r w:rsidRPr="006313E8">
        <w:rPr>
          <w:sz w:val="20"/>
          <w:szCs w:val="20"/>
        </w:rPr>
        <w:t> </w:t>
      </w:r>
    </w:p>
    <w:p w14:paraId="76781243" w14:textId="77777777" w:rsidR="004D3A04" w:rsidRPr="004D3A04" w:rsidRDefault="004D3A04" w:rsidP="004D3A04">
      <w:pPr>
        <w:rPr>
          <w:sz w:val="20"/>
          <w:szCs w:val="20"/>
        </w:rPr>
      </w:pPr>
    </w:p>
    <w:p w14:paraId="67E8FA99" w14:textId="76867A78" w:rsidR="00CF2D71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Holman RR BM, Mentz RJ, Thompson VP, </w:t>
      </w:r>
      <w:proofErr w:type="spellStart"/>
      <w:r w:rsidRPr="006313E8">
        <w:rPr>
          <w:sz w:val="20"/>
          <w:szCs w:val="20"/>
          <w:lang w:val="en-US"/>
        </w:rPr>
        <w:t>Lokhnygina</w:t>
      </w:r>
      <w:proofErr w:type="spellEnd"/>
      <w:r w:rsidRPr="006313E8">
        <w:rPr>
          <w:sz w:val="20"/>
          <w:szCs w:val="20"/>
          <w:lang w:val="en-US"/>
        </w:rPr>
        <w:t xml:space="preserve"> Y, Buse JB, Chan JC, Choi J, </w:t>
      </w:r>
      <w:proofErr w:type="spellStart"/>
      <w:r w:rsidRPr="006313E8">
        <w:rPr>
          <w:sz w:val="20"/>
          <w:szCs w:val="20"/>
          <w:lang w:val="en-US"/>
        </w:rPr>
        <w:t>Gustavson</w:t>
      </w:r>
      <w:proofErr w:type="spellEnd"/>
      <w:r w:rsidRPr="006313E8">
        <w:rPr>
          <w:sz w:val="20"/>
          <w:szCs w:val="20"/>
          <w:lang w:val="en-US"/>
        </w:rPr>
        <w:t xml:space="preserve"> SM, Iqbal N, </w:t>
      </w:r>
      <w:proofErr w:type="spellStart"/>
      <w:r w:rsidRPr="006313E8">
        <w:rPr>
          <w:sz w:val="20"/>
          <w:szCs w:val="20"/>
          <w:lang w:val="en-US"/>
        </w:rPr>
        <w:t>Maggioni</w:t>
      </w:r>
      <w:proofErr w:type="spellEnd"/>
      <w:r w:rsidRPr="006313E8">
        <w:rPr>
          <w:sz w:val="20"/>
          <w:szCs w:val="20"/>
          <w:lang w:val="en-US"/>
        </w:rPr>
        <w:t xml:space="preserve"> AP, </w:t>
      </w:r>
      <w:proofErr w:type="spellStart"/>
      <w:r w:rsidRPr="006313E8">
        <w:rPr>
          <w:sz w:val="20"/>
          <w:szCs w:val="20"/>
          <w:lang w:val="en-US"/>
        </w:rPr>
        <w:t>Marso</w:t>
      </w:r>
      <w:proofErr w:type="spellEnd"/>
      <w:r w:rsidRPr="006313E8">
        <w:rPr>
          <w:sz w:val="20"/>
          <w:szCs w:val="20"/>
          <w:lang w:val="en-US"/>
        </w:rPr>
        <w:t xml:space="preserve"> SP, </w:t>
      </w:r>
      <w:proofErr w:type="spellStart"/>
      <w:r w:rsidRPr="006313E8">
        <w:rPr>
          <w:sz w:val="20"/>
          <w:szCs w:val="20"/>
          <w:lang w:val="en-US"/>
        </w:rPr>
        <w:t>Öhman</w:t>
      </w:r>
      <w:proofErr w:type="spellEnd"/>
      <w:r w:rsidRPr="006313E8">
        <w:rPr>
          <w:sz w:val="20"/>
          <w:szCs w:val="20"/>
          <w:lang w:val="en-US"/>
        </w:rPr>
        <w:t xml:space="preserve"> P, </w:t>
      </w:r>
      <w:proofErr w:type="spellStart"/>
      <w:r w:rsidRPr="006313E8">
        <w:rPr>
          <w:sz w:val="20"/>
          <w:szCs w:val="20"/>
          <w:lang w:val="en-US"/>
        </w:rPr>
        <w:t>Pagidipati</w:t>
      </w:r>
      <w:proofErr w:type="spellEnd"/>
      <w:r w:rsidRPr="006313E8">
        <w:rPr>
          <w:sz w:val="20"/>
          <w:szCs w:val="20"/>
          <w:lang w:val="en-US"/>
        </w:rPr>
        <w:t xml:space="preserve"> NJ, Poulter N, Ramachandran A, </w:t>
      </w:r>
      <w:proofErr w:type="spellStart"/>
      <w:r w:rsidRPr="006313E8">
        <w:rPr>
          <w:sz w:val="20"/>
          <w:szCs w:val="20"/>
          <w:lang w:val="en-US"/>
        </w:rPr>
        <w:t>Zinman</w:t>
      </w:r>
      <w:proofErr w:type="spellEnd"/>
      <w:r w:rsidRPr="006313E8">
        <w:rPr>
          <w:sz w:val="20"/>
          <w:szCs w:val="20"/>
          <w:lang w:val="en-US"/>
        </w:rPr>
        <w:t xml:space="preserve"> B, Hernandez AF; EXSCEL Study Group: </w:t>
      </w:r>
      <w:r w:rsidRPr="006313E8">
        <w:rPr>
          <w:b/>
          <w:bCs/>
          <w:sz w:val="20"/>
          <w:szCs w:val="20"/>
          <w:lang w:val="en-US"/>
        </w:rPr>
        <w:t>Effects of Once-Weekly Exenatide on Cardiovascular Outcomes in Type 2 Diabetes.</w:t>
      </w:r>
      <w:r w:rsidRPr="006313E8">
        <w:rPr>
          <w:sz w:val="20"/>
          <w:szCs w:val="20"/>
          <w:lang w:val="en-US"/>
        </w:rPr>
        <w:t> </w:t>
      </w:r>
      <w:r w:rsidRPr="006313E8">
        <w:rPr>
          <w:i/>
          <w:iCs/>
          <w:sz w:val="20"/>
          <w:szCs w:val="20"/>
          <w:lang w:val="en-US"/>
        </w:rPr>
        <w:t xml:space="preserve">N </w:t>
      </w:r>
      <w:proofErr w:type="spellStart"/>
      <w:r w:rsidRPr="006313E8">
        <w:rPr>
          <w:i/>
          <w:iCs/>
          <w:sz w:val="20"/>
          <w:szCs w:val="20"/>
          <w:lang w:val="en-US"/>
        </w:rPr>
        <w:t>Engl</w:t>
      </w:r>
      <w:proofErr w:type="spellEnd"/>
      <w:r w:rsidRPr="006313E8">
        <w:rPr>
          <w:i/>
          <w:iCs/>
          <w:sz w:val="20"/>
          <w:szCs w:val="20"/>
          <w:lang w:val="en-US"/>
        </w:rPr>
        <w:t xml:space="preserve"> J Med </w:t>
      </w:r>
      <w:r w:rsidRPr="006313E8">
        <w:rPr>
          <w:sz w:val="20"/>
          <w:szCs w:val="20"/>
          <w:lang w:val="en-US"/>
        </w:rPr>
        <w:t>2017, </w:t>
      </w:r>
      <w:r w:rsidRPr="006313E8">
        <w:rPr>
          <w:b/>
          <w:bCs/>
          <w:sz w:val="20"/>
          <w:szCs w:val="20"/>
          <w:lang w:val="en-US"/>
        </w:rPr>
        <w:t>377</w:t>
      </w:r>
      <w:r w:rsidRPr="006313E8">
        <w:rPr>
          <w:sz w:val="20"/>
          <w:szCs w:val="20"/>
          <w:lang w:val="en-US"/>
        </w:rPr>
        <w:t>(13):1228-1239.</w:t>
      </w:r>
      <w:r w:rsidRPr="006313E8">
        <w:rPr>
          <w:sz w:val="20"/>
          <w:szCs w:val="20"/>
        </w:rPr>
        <w:t> </w:t>
      </w:r>
    </w:p>
    <w:p w14:paraId="20153B24" w14:textId="77777777" w:rsidR="004D3A04" w:rsidRPr="004D3A04" w:rsidRDefault="004D3A04" w:rsidP="004D3A04">
      <w:pPr>
        <w:rPr>
          <w:sz w:val="20"/>
          <w:szCs w:val="20"/>
        </w:rPr>
      </w:pPr>
    </w:p>
    <w:p w14:paraId="2CD05AA8" w14:textId="09941D5C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CF2D71">
        <w:rPr>
          <w:sz w:val="20"/>
          <w:szCs w:val="20"/>
          <w:lang w:val="en-US"/>
        </w:rPr>
        <w:t xml:space="preserve">Bruce Neal  VP, Kenneth W. Mahaffey,  Dick de </w:t>
      </w:r>
      <w:proofErr w:type="spellStart"/>
      <w:r w:rsidRPr="00CF2D71">
        <w:rPr>
          <w:sz w:val="20"/>
          <w:szCs w:val="20"/>
          <w:lang w:val="en-US"/>
        </w:rPr>
        <w:t>Zeeuw</w:t>
      </w:r>
      <w:proofErr w:type="spellEnd"/>
      <w:r w:rsidRPr="00CF2D71">
        <w:rPr>
          <w:sz w:val="20"/>
          <w:szCs w:val="20"/>
          <w:lang w:val="en-US"/>
        </w:rPr>
        <w:t xml:space="preserve">,  Greg Fulcher,   Ngozi </w:t>
      </w:r>
      <w:proofErr w:type="spellStart"/>
      <w:r w:rsidRPr="00CF2D71">
        <w:rPr>
          <w:sz w:val="20"/>
          <w:szCs w:val="20"/>
          <w:lang w:val="en-US"/>
        </w:rPr>
        <w:t>Erondu</w:t>
      </w:r>
      <w:proofErr w:type="spellEnd"/>
      <w:r w:rsidRPr="00CF2D71">
        <w:rPr>
          <w:sz w:val="20"/>
          <w:szCs w:val="20"/>
          <w:lang w:val="en-US"/>
        </w:rPr>
        <w:t>,  Wayne Shaw,   Gordon Law,  Mehul Desai, and David R. Matthews, for the CANVAS Program Collaborative Group: </w:t>
      </w:r>
      <w:r w:rsidRPr="00CF2D71">
        <w:rPr>
          <w:b/>
          <w:bCs/>
          <w:sz w:val="20"/>
          <w:szCs w:val="20"/>
          <w:lang w:val="en-US"/>
        </w:rPr>
        <w:t>Canagliflozin and Cardiovascular and Renal Events in Type 2 Diabetes</w:t>
      </w:r>
      <w:r w:rsidRPr="00CF2D71">
        <w:rPr>
          <w:sz w:val="20"/>
          <w:szCs w:val="20"/>
          <w:lang w:val="en-US"/>
        </w:rPr>
        <w:t>. </w:t>
      </w:r>
      <w:r w:rsidRPr="00CF2D71">
        <w:rPr>
          <w:i/>
          <w:iCs/>
          <w:sz w:val="20"/>
          <w:szCs w:val="20"/>
          <w:lang w:val="en-US"/>
        </w:rPr>
        <w:t xml:space="preserve">The new </w:t>
      </w:r>
      <w:proofErr w:type="spellStart"/>
      <w:r w:rsidRPr="00CF2D71">
        <w:rPr>
          <w:i/>
          <w:iCs/>
          <w:sz w:val="20"/>
          <w:szCs w:val="20"/>
          <w:lang w:val="en-US"/>
        </w:rPr>
        <w:t>england</w:t>
      </w:r>
      <w:proofErr w:type="spellEnd"/>
      <w:r w:rsidRPr="00CF2D71">
        <w:rPr>
          <w:i/>
          <w:iCs/>
          <w:sz w:val="20"/>
          <w:szCs w:val="20"/>
          <w:lang w:val="en-US"/>
        </w:rPr>
        <w:t xml:space="preserve"> journal of medicine </w:t>
      </w:r>
      <w:r w:rsidRPr="00CF2D71">
        <w:rPr>
          <w:sz w:val="20"/>
          <w:szCs w:val="20"/>
          <w:lang w:val="en-US"/>
        </w:rPr>
        <w:t>2017, </w:t>
      </w:r>
      <w:r w:rsidRPr="00CF2D71">
        <w:rPr>
          <w:b/>
          <w:bCs/>
          <w:sz w:val="20"/>
          <w:szCs w:val="20"/>
          <w:lang w:val="en-US"/>
        </w:rPr>
        <w:t>377</w:t>
      </w:r>
      <w:r w:rsidRPr="00CF2D71">
        <w:rPr>
          <w:sz w:val="20"/>
          <w:szCs w:val="20"/>
          <w:lang w:val="en-US"/>
        </w:rPr>
        <w:t>(7).</w:t>
      </w:r>
      <w:r w:rsidRPr="00CF2D71">
        <w:rPr>
          <w:sz w:val="20"/>
          <w:szCs w:val="20"/>
        </w:rPr>
        <w:t> </w:t>
      </w:r>
    </w:p>
    <w:p w14:paraId="12370467" w14:textId="77777777" w:rsidR="004D3A04" w:rsidRPr="004D3A04" w:rsidRDefault="004D3A04" w:rsidP="004D3A04">
      <w:pPr>
        <w:rPr>
          <w:sz w:val="20"/>
          <w:szCs w:val="20"/>
        </w:rPr>
      </w:pPr>
    </w:p>
    <w:p w14:paraId="50329F3E" w14:textId="4F5BBFC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Perkovic</w:t>
      </w:r>
      <w:proofErr w:type="spellEnd"/>
      <w:r w:rsidRPr="006313E8">
        <w:rPr>
          <w:sz w:val="20"/>
          <w:szCs w:val="20"/>
          <w:lang w:val="en-US"/>
        </w:rPr>
        <w:t xml:space="preserve"> V JM, Neal B, </w:t>
      </w:r>
      <w:proofErr w:type="spellStart"/>
      <w:r w:rsidRPr="006313E8">
        <w:rPr>
          <w:sz w:val="20"/>
          <w:szCs w:val="20"/>
          <w:lang w:val="en-US"/>
        </w:rPr>
        <w:t>Bompoint</w:t>
      </w:r>
      <w:proofErr w:type="spellEnd"/>
      <w:r w:rsidRPr="006313E8">
        <w:rPr>
          <w:sz w:val="20"/>
          <w:szCs w:val="20"/>
          <w:lang w:val="en-US"/>
        </w:rPr>
        <w:t xml:space="preserve"> S, </w:t>
      </w:r>
      <w:proofErr w:type="spellStart"/>
      <w:r w:rsidRPr="006313E8">
        <w:rPr>
          <w:sz w:val="20"/>
          <w:szCs w:val="20"/>
          <w:lang w:val="en-US"/>
        </w:rPr>
        <w:t>Heerspink</w:t>
      </w:r>
      <w:proofErr w:type="spellEnd"/>
      <w:r w:rsidRPr="006313E8">
        <w:rPr>
          <w:sz w:val="20"/>
          <w:szCs w:val="20"/>
          <w:lang w:val="en-US"/>
        </w:rPr>
        <w:t xml:space="preserve"> HJL, </w:t>
      </w:r>
      <w:proofErr w:type="spellStart"/>
      <w:r w:rsidRPr="006313E8">
        <w:rPr>
          <w:sz w:val="20"/>
          <w:szCs w:val="20"/>
          <w:lang w:val="en-US"/>
        </w:rPr>
        <w:t>Charytan</w:t>
      </w:r>
      <w:proofErr w:type="spellEnd"/>
      <w:r w:rsidRPr="006313E8">
        <w:rPr>
          <w:sz w:val="20"/>
          <w:szCs w:val="20"/>
          <w:lang w:val="en-US"/>
        </w:rPr>
        <w:t xml:space="preserve"> DM, Edwards R, Agarwal R, </w:t>
      </w:r>
      <w:proofErr w:type="spellStart"/>
      <w:r w:rsidRPr="006313E8">
        <w:rPr>
          <w:sz w:val="20"/>
          <w:szCs w:val="20"/>
          <w:lang w:val="en-US"/>
        </w:rPr>
        <w:t>Bakris</w:t>
      </w:r>
      <w:proofErr w:type="spellEnd"/>
      <w:r w:rsidRPr="006313E8">
        <w:rPr>
          <w:sz w:val="20"/>
          <w:szCs w:val="20"/>
          <w:lang w:val="en-US"/>
        </w:rPr>
        <w:t xml:space="preserve"> G, Bull S, Cannon CP, Capuano G, Chu PL, de </w:t>
      </w:r>
      <w:proofErr w:type="spellStart"/>
      <w:r w:rsidRPr="006313E8">
        <w:rPr>
          <w:sz w:val="20"/>
          <w:szCs w:val="20"/>
          <w:lang w:val="en-US"/>
        </w:rPr>
        <w:t>Zeeuw</w:t>
      </w:r>
      <w:proofErr w:type="spellEnd"/>
      <w:r w:rsidRPr="006313E8">
        <w:rPr>
          <w:sz w:val="20"/>
          <w:szCs w:val="20"/>
          <w:lang w:val="en-US"/>
        </w:rPr>
        <w:t xml:space="preserve"> D, Greene T, Levin A, Pollock C, Wheeler DC, </w:t>
      </w:r>
      <w:proofErr w:type="spellStart"/>
      <w:r w:rsidRPr="006313E8">
        <w:rPr>
          <w:sz w:val="20"/>
          <w:szCs w:val="20"/>
          <w:lang w:val="en-US"/>
        </w:rPr>
        <w:t>Yavin</w:t>
      </w:r>
      <w:proofErr w:type="spellEnd"/>
      <w:r w:rsidRPr="006313E8">
        <w:rPr>
          <w:sz w:val="20"/>
          <w:szCs w:val="20"/>
          <w:lang w:val="en-US"/>
        </w:rPr>
        <w:t xml:space="preserve"> Y, Zhang H, </w:t>
      </w:r>
      <w:proofErr w:type="spellStart"/>
      <w:r w:rsidRPr="006313E8">
        <w:rPr>
          <w:sz w:val="20"/>
          <w:szCs w:val="20"/>
          <w:lang w:val="en-US"/>
        </w:rPr>
        <w:t>Zinman</w:t>
      </w:r>
      <w:proofErr w:type="spellEnd"/>
      <w:r w:rsidRPr="006313E8">
        <w:rPr>
          <w:sz w:val="20"/>
          <w:szCs w:val="20"/>
          <w:lang w:val="en-US"/>
        </w:rPr>
        <w:t xml:space="preserve"> B, </w:t>
      </w:r>
      <w:proofErr w:type="spellStart"/>
      <w:r w:rsidRPr="006313E8">
        <w:rPr>
          <w:sz w:val="20"/>
          <w:szCs w:val="20"/>
          <w:lang w:val="en-US"/>
        </w:rPr>
        <w:t>Meininger</w:t>
      </w:r>
      <w:proofErr w:type="spellEnd"/>
      <w:r w:rsidRPr="006313E8">
        <w:rPr>
          <w:sz w:val="20"/>
          <w:szCs w:val="20"/>
          <w:lang w:val="en-US"/>
        </w:rPr>
        <w:t xml:space="preserve"> G, Brenner BM, Mahaffey KW: </w:t>
      </w:r>
      <w:r w:rsidRPr="006313E8">
        <w:rPr>
          <w:b/>
          <w:bCs/>
          <w:sz w:val="20"/>
          <w:szCs w:val="20"/>
          <w:lang w:val="en-US"/>
        </w:rPr>
        <w:t>Canagliflozin and Renal Outcomes in Type 2 Diabetes and Nephropathy.</w:t>
      </w:r>
      <w:r w:rsidRPr="006313E8">
        <w:rPr>
          <w:sz w:val="20"/>
          <w:szCs w:val="20"/>
          <w:lang w:val="en-US"/>
        </w:rPr>
        <w:t> </w:t>
      </w:r>
      <w:r w:rsidRPr="006313E8">
        <w:rPr>
          <w:i/>
          <w:iCs/>
          <w:sz w:val="20"/>
          <w:szCs w:val="20"/>
          <w:lang w:val="en-US"/>
        </w:rPr>
        <w:t xml:space="preserve">N </w:t>
      </w:r>
      <w:proofErr w:type="spellStart"/>
      <w:r w:rsidRPr="006313E8">
        <w:rPr>
          <w:i/>
          <w:iCs/>
          <w:sz w:val="20"/>
          <w:szCs w:val="20"/>
          <w:lang w:val="en-US"/>
        </w:rPr>
        <w:t>Engl</w:t>
      </w:r>
      <w:proofErr w:type="spellEnd"/>
      <w:r w:rsidRPr="006313E8">
        <w:rPr>
          <w:i/>
          <w:iCs/>
          <w:sz w:val="20"/>
          <w:szCs w:val="20"/>
          <w:lang w:val="en-US"/>
        </w:rPr>
        <w:t xml:space="preserve"> J Med </w:t>
      </w:r>
      <w:r w:rsidRPr="006313E8">
        <w:rPr>
          <w:sz w:val="20"/>
          <w:szCs w:val="20"/>
          <w:lang w:val="en-US"/>
        </w:rPr>
        <w:t>2019, </w:t>
      </w:r>
      <w:r w:rsidRPr="006313E8">
        <w:rPr>
          <w:b/>
          <w:bCs/>
          <w:sz w:val="20"/>
          <w:szCs w:val="20"/>
          <w:lang w:val="en-US"/>
        </w:rPr>
        <w:t>380</w:t>
      </w:r>
      <w:r w:rsidRPr="006313E8">
        <w:rPr>
          <w:sz w:val="20"/>
          <w:szCs w:val="20"/>
          <w:lang w:val="en-US"/>
        </w:rPr>
        <w:t>(24).</w:t>
      </w:r>
      <w:r w:rsidRPr="006313E8">
        <w:rPr>
          <w:sz w:val="20"/>
          <w:szCs w:val="20"/>
        </w:rPr>
        <w:t> </w:t>
      </w:r>
    </w:p>
    <w:p w14:paraId="0DD9BB8C" w14:textId="77777777" w:rsidR="004D3A04" w:rsidRPr="004D3A04" w:rsidRDefault="004D3A04" w:rsidP="004D3A04">
      <w:pPr>
        <w:rPr>
          <w:sz w:val="20"/>
          <w:szCs w:val="20"/>
        </w:rPr>
      </w:pPr>
    </w:p>
    <w:p w14:paraId="411400EA" w14:textId="0EAC5F12" w:rsidR="006313E8" w:rsidRP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8. Pharmacologic Approaches to Glycemic Treatment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Diabetes Care </w:t>
      </w:r>
      <w:r w:rsidRPr="006313E8">
        <w:rPr>
          <w:sz w:val="20"/>
          <w:szCs w:val="20"/>
          <w:lang w:val="en-US"/>
        </w:rPr>
        <w:t>2017, </w:t>
      </w:r>
      <w:r w:rsidRPr="006313E8">
        <w:rPr>
          <w:b/>
          <w:bCs/>
          <w:sz w:val="20"/>
          <w:szCs w:val="20"/>
          <w:lang w:val="en-US"/>
        </w:rPr>
        <w:t>40</w:t>
      </w:r>
      <w:r w:rsidRPr="006313E8">
        <w:rPr>
          <w:sz w:val="20"/>
          <w:szCs w:val="20"/>
          <w:lang w:val="en-US"/>
        </w:rPr>
        <w:t>(Supplement 1):S64-S74.</w:t>
      </w:r>
      <w:r w:rsidRPr="006313E8">
        <w:rPr>
          <w:sz w:val="20"/>
          <w:szCs w:val="20"/>
        </w:rPr>
        <w:t> </w:t>
      </w:r>
    </w:p>
    <w:p w14:paraId="3773E05C" w14:textId="60A00360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lastRenderedPageBreak/>
        <w:t xml:space="preserve">Booth G, Lipscombe L, </w:t>
      </w:r>
      <w:proofErr w:type="spellStart"/>
      <w:r w:rsidRPr="006313E8">
        <w:rPr>
          <w:sz w:val="20"/>
          <w:szCs w:val="20"/>
          <w:lang w:val="en-US"/>
        </w:rPr>
        <w:t>Butalia</w:t>
      </w:r>
      <w:proofErr w:type="spellEnd"/>
      <w:r w:rsidRPr="006313E8">
        <w:rPr>
          <w:sz w:val="20"/>
          <w:szCs w:val="20"/>
          <w:lang w:val="en-US"/>
        </w:rPr>
        <w:t xml:space="preserve"> S, Dasgupta K, </w:t>
      </w:r>
      <w:proofErr w:type="spellStart"/>
      <w:r w:rsidRPr="006313E8">
        <w:rPr>
          <w:sz w:val="20"/>
          <w:szCs w:val="20"/>
          <w:lang w:val="en-US"/>
        </w:rPr>
        <w:t>Eurich</w:t>
      </w:r>
      <w:proofErr w:type="spellEnd"/>
      <w:r w:rsidRPr="006313E8">
        <w:rPr>
          <w:sz w:val="20"/>
          <w:szCs w:val="20"/>
          <w:lang w:val="en-US"/>
        </w:rPr>
        <w:t xml:space="preserve"> D, Goldenberg R, Khan N, MacCallum L, Shah B, Simpson S: </w:t>
      </w:r>
      <w:r w:rsidRPr="006313E8">
        <w:rPr>
          <w:b/>
          <w:bCs/>
          <w:sz w:val="20"/>
          <w:szCs w:val="20"/>
          <w:lang w:val="en-US"/>
        </w:rPr>
        <w:t>Pharmacologic management of type 2 diabetes: 2016 interim update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Canadian journal of diabetes </w:t>
      </w:r>
      <w:r w:rsidRPr="006313E8">
        <w:rPr>
          <w:sz w:val="20"/>
          <w:szCs w:val="20"/>
          <w:lang w:val="en-US"/>
        </w:rPr>
        <w:t>2016, </w:t>
      </w:r>
      <w:r w:rsidRPr="006313E8">
        <w:rPr>
          <w:b/>
          <w:bCs/>
          <w:sz w:val="20"/>
          <w:szCs w:val="20"/>
          <w:lang w:val="en-US"/>
        </w:rPr>
        <w:t>40</w:t>
      </w:r>
      <w:r w:rsidRPr="006313E8">
        <w:rPr>
          <w:sz w:val="20"/>
          <w:szCs w:val="20"/>
          <w:lang w:val="en-US"/>
        </w:rPr>
        <w:t>(6):484-486.</w:t>
      </w:r>
      <w:r w:rsidRPr="006313E8">
        <w:rPr>
          <w:sz w:val="20"/>
          <w:szCs w:val="20"/>
        </w:rPr>
        <w:t> </w:t>
      </w:r>
    </w:p>
    <w:p w14:paraId="75AE64A5" w14:textId="77777777" w:rsidR="004D3A04" w:rsidRPr="004D3A04" w:rsidRDefault="004D3A04" w:rsidP="004D3A04">
      <w:pPr>
        <w:rPr>
          <w:sz w:val="20"/>
          <w:szCs w:val="20"/>
        </w:rPr>
      </w:pPr>
    </w:p>
    <w:p w14:paraId="7372EA9B" w14:textId="48428806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Association AD: </w:t>
      </w:r>
      <w:r w:rsidRPr="006313E8">
        <w:rPr>
          <w:b/>
          <w:bCs/>
          <w:sz w:val="20"/>
          <w:szCs w:val="20"/>
          <w:lang w:val="en-US"/>
        </w:rPr>
        <w:t>Standards of medical care in diabetes—2017 abridged for primary care providers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Clinical Diabetes </w:t>
      </w:r>
      <w:r w:rsidRPr="006313E8">
        <w:rPr>
          <w:sz w:val="20"/>
          <w:szCs w:val="20"/>
          <w:lang w:val="en-US"/>
        </w:rPr>
        <w:t>2017, </w:t>
      </w:r>
      <w:r w:rsidRPr="006313E8">
        <w:rPr>
          <w:b/>
          <w:bCs/>
          <w:sz w:val="20"/>
          <w:szCs w:val="20"/>
          <w:lang w:val="en-US"/>
        </w:rPr>
        <w:t>35</w:t>
      </w:r>
      <w:r w:rsidRPr="006313E8">
        <w:rPr>
          <w:sz w:val="20"/>
          <w:szCs w:val="20"/>
          <w:lang w:val="en-US"/>
        </w:rPr>
        <w:t>(1):5-26.</w:t>
      </w:r>
      <w:r w:rsidRPr="006313E8">
        <w:rPr>
          <w:sz w:val="20"/>
          <w:szCs w:val="20"/>
        </w:rPr>
        <w:t> </w:t>
      </w:r>
    </w:p>
    <w:p w14:paraId="3B692D0A" w14:textId="77777777" w:rsidR="004D3A04" w:rsidRPr="004D3A04" w:rsidRDefault="004D3A04" w:rsidP="004D3A04">
      <w:pPr>
        <w:rPr>
          <w:sz w:val="20"/>
          <w:szCs w:val="20"/>
        </w:rPr>
      </w:pPr>
    </w:p>
    <w:p w14:paraId="1A9F3D90" w14:textId="7287069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Garber AJ, Abrahamson MJ, </w:t>
      </w:r>
      <w:proofErr w:type="spellStart"/>
      <w:r w:rsidRPr="006313E8">
        <w:rPr>
          <w:sz w:val="20"/>
          <w:szCs w:val="20"/>
          <w:lang w:val="en-US"/>
        </w:rPr>
        <w:t>Barzilay</w:t>
      </w:r>
      <w:proofErr w:type="spellEnd"/>
      <w:r w:rsidRPr="006313E8">
        <w:rPr>
          <w:sz w:val="20"/>
          <w:szCs w:val="20"/>
          <w:lang w:val="en-US"/>
        </w:rPr>
        <w:t xml:space="preserve"> JI, Blonde L, </w:t>
      </w:r>
      <w:proofErr w:type="spellStart"/>
      <w:r w:rsidRPr="006313E8">
        <w:rPr>
          <w:sz w:val="20"/>
          <w:szCs w:val="20"/>
          <w:lang w:val="en-US"/>
        </w:rPr>
        <w:t>Bloomgarden</w:t>
      </w:r>
      <w:proofErr w:type="spellEnd"/>
      <w:r w:rsidRPr="006313E8">
        <w:rPr>
          <w:sz w:val="20"/>
          <w:szCs w:val="20"/>
          <w:lang w:val="en-US"/>
        </w:rPr>
        <w:t xml:space="preserve"> ZT, Bush MA, </w:t>
      </w:r>
      <w:proofErr w:type="spellStart"/>
      <w:r w:rsidRPr="006313E8">
        <w:rPr>
          <w:sz w:val="20"/>
          <w:szCs w:val="20"/>
          <w:lang w:val="en-US"/>
        </w:rPr>
        <w:t>Dagogo</w:t>
      </w:r>
      <w:proofErr w:type="spellEnd"/>
      <w:r w:rsidRPr="006313E8">
        <w:rPr>
          <w:sz w:val="20"/>
          <w:szCs w:val="20"/>
          <w:lang w:val="en-US"/>
        </w:rPr>
        <w:t xml:space="preserve">-Jack S, </w:t>
      </w:r>
      <w:proofErr w:type="spellStart"/>
      <w:r w:rsidRPr="006313E8">
        <w:rPr>
          <w:sz w:val="20"/>
          <w:szCs w:val="20"/>
          <w:lang w:val="en-US"/>
        </w:rPr>
        <w:t>DeFronzo</w:t>
      </w:r>
      <w:proofErr w:type="spellEnd"/>
      <w:r w:rsidRPr="006313E8">
        <w:rPr>
          <w:sz w:val="20"/>
          <w:szCs w:val="20"/>
          <w:lang w:val="en-US"/>
        </w:rPr>
        <w:t xml:space="preserve"> RA, Einhorn D, Fonseca VA: </w:t>
      </w:r>
      <w:r w:rsidRPr="006313E8">
        <w:rPr>
          <w:b/>
          <w:bCs/>
          <w:sz w:val="20"/>
          <w:szCs w:val="20"/>
          <w:lang w:val="en-US"/>
        </w:rPr>
        <w:t>Consensus statement by the American association of clinical endocrinologists and American College of Endocrinology on the comprehensive type 2 diabetes management algorithm–2017 executive summary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Endocrine Practice </w:t>
      </w:r>
      <w:r w:rsidRPr="006313E8">
        <w:rPr>
          <w:sz w:val="20"/>
          <w:szCs w:val="20"/>
          <w:lang w:val="en-US"/>
        </w:rPr>
        <w:t>2017, </w:t>
      </w:r>
      <w:r w:rsidRPr="006313E8">
        <w:rPr>
          <w:b/>
          <w:bCs/>
          <w:sz w:val="20"/>
          <w:szCs w:val="20"/>
          <w:lang w:val="en-US"/>
        </w:rPr>
        <w:t>23</w:t>
      </w:r>
      <w:r w:rsidRPr="006313E8">
        <w:rPr>
          <w:sz w:val="20"/>
          <w:szCs w:val="20"/>
          <w:lang w:val="en-US"/>
        </w:rPr>
        <w:t>(2):207-238.</w:t>
      </w:r>
      <w:r w:rsidRPr="006313E8">
        <w:rPr>
          <w:sz w:val="20"/>
          <w:szCs w:val="20"/>
        </w:rPr>
        <w:t> </w:t>
      </w:r>
    </w:p>
    <w:p w14:paraId="41142E43" w14:textId="77777777" w:rsidR="00FF4C75" w:rsidRPr="00FF4C75" w:rsidRDefault="00FF4C75" w:rsidP="00FF4C75">
      <w:pPr>
        <w:rPr>
          <w:sz w:val="20"/>
          <w:szCs w:val="20"/>
        </w:rPr>
      </w:pPr>
    </w:p>
    <w:p w14:paraId="6A097D86" w14:textId="00518E1F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Zinman</w:t>
      </w:r>
      <w:proofErr w:type="spellEnd"/>
      <w:r w:rsidRPr="006313E8">
        <w:rPr>
          <w:sz w:val="20"/>
          <w:szCs w:val="20"/>
          <w:lang w:val="en-US"/>
        </w:rPr>
        <w:t xml:space="preserve"> B, </w:t>
      </w:r>
      <w:proofErr w:type="spellStart"/>
      <w:r w:rsidRPr="006313E8">
        <w:rPr>
          <w:sz w:val="20"/>
          <w:szCs w:val="20"/>
          <w:lang w:val="en-US"/>
        </w:rPr>
        <w:t>Wanner</w:t>
      </w:r>
      <w:proofErr w:type="spellEnd"/>
      <w:r w:rsidRPr="006313E8">
        <w:rPr>
          <w:sz w:val="20"/>
          <w:szCs w:val="20"/>
          <w:lang w:val="en-US"/>
        </w:rPr>
        <w:t xml:space="preserve"> C, </w:t>
      </w:r>
      <w:proofErr w:type="spellStart"/>
      <w:r w:rsidRPr="006313E8">
        <w:rPr>
          <w:sz w:val="20"/>
          <w:szCs w:val="20"/>
          <w:lang w:val="en-US"/>
        </w:rPr>
        <w:t>Lachin</w:t>
      </w:r>
      <w:proofErr w:type="spellEnd"/>
      <w:r w:rsidRPr="006313E8">
        <w:rPr>
          <w:sz w:val="20"/>
          <w:szCs w:val="20"/>
          <w:lang w:val="en-US"/>
        </w:rPr>
        <w:t xml:space="preserve"> JM, Fitchett D, </w:t>
      </w:r>
      <w:proofErr w:type="spellStart"/>
      <w:r w:rsidRPr="006313E8">
        <w:rPr>
          <w:sz w:val="20"/>
          <w:szCs w:val="20"/>
          <w:lang w:val="en-US"/>
        </w:rPr>
        <w:t>Bluhmki</w:t>
      </w:r>
      <w:proofErr w:type="spellEnd"/>
      <w:r w:rsidRPr="006313E8">
        <w:rPr>
          <w:sz w:val="20"/>
          <w:szCs w:val="20"/>
          <w:lang w:val="en-US"/>
        </w:rPr>
        <w:t xml:space="preserve"> E, </w:t>
      </w:r>
      <w:proofErr w:type="spellStart"/>
      <w:r w:rsidRPr="006313E8">
        <w:rPr>
          <w:sz w:val="20"/>
          <w:szCs w:val="20"/>
          <w:lang w:val="en-US"/>
        </w:rPr>
        <w:t>Hantel</w:t>
      </w:r>
      <w:proofErr w:type="spellEnd"/>
      <w:r w:rsidRPr="006313E8">
        <w:rPr>
          <w:sz w:val="20"/>
          <w:szCs w:val="20"/>
          <w:lang w:val="en-US"/>
        </w:rPr>
        <w:t xml:space="preserve"> S, </w:t>
      </w:r>
      <w:proofErr w:type="spellStart"/>
      <w:r w:rsidRPr="006313E8">
        <w:rPr>
          <w:sz w:val="20"/>
          <w:szCs w:val="20"/>
          <w:lang w:val="en-US"/>
        </w:rPr>
        <w:t>Mattheus</w:t>
      </w:r>
      <w:proofErr w:type="spellEnd"/>
      <w:r w:rsidRPr="006313E8">
        <w:rPr>
          <w:sz w:val="20"/>
          <w:szCs w:val="20"/>
          <w:lang w:val="en-US"/>
        </w:rPr>
        <w:t xml:space="preserve"> M, </w:t>
      </w:r>
      <w:proofErr w:type="spellStart"/>
      <w:r w:rsidRPr="006313E8">
        <w:rPr>
          <w:sz w:val="20"/>
          <w:szCs w:val="20"/>
          <w:lang w:val="en-US"/>
        </w:rPr>
        <w:t>Devins</w:t>
      </w:r>
      <w:proofErr w:type="spellEnd"/>
      <w:r w:rsidRPr="006313E8">
        <w:rPr>
          <w:sz w:val="20"/>
          <w:szCs w:val="20"/>
          <w:lang w:val="en-US"/>
        </w:rPr>
        <w:t xml:space="preserve"> T, Johansen OE, </w:t>
      </w:r>
      <w:proofErr w:type="spellStart"/>
      <w:r w:rsidRPr="006313E8">
        <w:rPr>
          <w:sz w:val="20"/>
          <w:szCs w:val="20"/>
          <w:lang w:val="en-US"/>
        </w:rPr>
        <w:t>Woerle</w:t>
      </w:r>
      <w:proofErr w:type="spellEnd"/>
      <w:r w:rsidRPr="006313E8">
        <w:rPr>
          <w:sz w:val="20"/>
          <w:szCs w:val="20"/>
          <w:lang w:val="en-US"/>
        </w:rPr>
        <w:t xml:space="preserve"> HJ</w:t>
      </w:r>
      <w:r w:rsidRPr="006313E8">
        <w:rPr>
          <w:i/>
          <w:iCs/>
          <w:sz w:val="20"/>
          <w:szCs w:val="20"/>
          <w:lang w:val="en-US"/>
        </w:rPr>
        <w:t> et al</w:t>
      </w:r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Empagliflozin, Cardiovascular Outcomes, and Mortality in Type 2 Diabetes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 xml:space="preserve">N </w:t>
      </w:r>
      <w:proofErr w:type="spellStart"/>
      <w:r w:rsidRPr="006313E8">
        <w:rPr>
          <w:i/>
          <w:iCs/>
          <w:sz w:val="20"/>
          <w:szCs w:val="20"/>
          <w:lang w:val="en-US"/>
        </w:rPr>
        <w:t>Engl</w:t>
      </w:r>
      <w:proofErr w:type="spellEnd"/>
      <w:r w:rsidRPr="006313E8">
        <w:rPr>
          <w:i/>
          <w:iCs/>
          <w:sz w:val="20"/>
          <w:szCs w:val="20"/>
          <w:lang w:val="en-US"/>
        </w:rPr>
        <w:t xml:space="preserve"> J Med </w:t>
      </w:r>
      <w:r w:rsidRPr="006313E8">
        <w:rPr>
          <w:sz w:val="20"/>
          <w:szCs w:val="20"/>
          <w:lang w:val="en-US"/>
        </w:rPr>
        <w:t>2015, </w:t>
      </w:r>
      <w:r w:rsidRPr="006313E8">
        <w:rPr>
          <w:b/>
          <w:bCs/>
          <w:sz w:val="20"/>
          <w:szCs w:val="20"/>
          <w:lang w:val="en-US"/>
        </w:rPr>
        <w:t>373</w:t>
      </w:r>
      <w:r w:rsidRPr="006313E8">
        <w:rPr>
          <w:sz w:val="20"/>
          <w:szCs w:val="20"/>
          <w:lang w:val="en-US"/>
        </w:rPr>
        <w:t>(22):2117-2128.</w:t>
      </w:r>
      <w:r w:rsidRPr="006313E8">
        <w:rPr>
          <w:sz w:val="20"/>
          <w:szCs w:val="20"/>
        </w:rPr>
        <w:t> </w:t>
      </w:r>
    </w:p>
    <w:p w14:paraId="53C5FACD" w14:textId="77777777" w:rsidR="00FF4C75" w:rsidRPr="00FF4C75" w:rsidRDefault="00FF4C75" w:rsidP="00FF4C75">
      <w:pPr>
        <w:rPr>
          <w:sz w:val="20"/>
          <w:szCs w:val="20"/>
        </w:rPr>
      </w:pPr>
    </w:p>
    <w:p w14:paraId="09217113" w14:textId="53E67AEC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Marso</w:t>
      </w:r>
      <w:proofErr w:type="spellEnd"/>
      <w:r w:rsidRPr="006313E8">
        <w:rPr>
          <w:sz w:val="20"/>
          <w:szCs w:val="20"/>
          <w:lang w:val="en-US"/>
        </w:rPr>
        <w:t xml:space="preserve"> SP, Daniels GH, Brown-Frandsen K, Kristensen P, Mann JFE, </w:t>
      </w:r>
      <w:proofErr w:type="spellStart"/>
      <w:r w:rsidRPr="006313E8">
        <w:rPr>
          <w:sz w:val="20"/>
          <w:szCs w:val="20"/>
          <w:lang w:val="en-US"/>
        </w:rPr>
        <w:t>Nauck</w:t>
      </w:r>
      <w:proofErr w:type="spellEnd"/>
      <w:r w:rsidRPr="006313E8">
        <w:rPr>
          <w:sz w:val="20"/>
          <w:szCs w:val="20"/>
          <w:lang w:val="en-US"/>
        </w:rPr>
        <w:t xml:space="preserve"> MA, Nissen SE, Pocock S, Poulter NR, </w:t>
      </w:r>
      <w:proofErr w:type="spellStart"/>
      <w:r w:rsidRPr="006313E8">
        <w:rPr>
          <w:sz w:val="20"/>
          <w:szCs w:val="20"/>
          <w:lang w:val="en-US"/>
        </w:rPr>
        <w:t>Ravn</w:t>
      </w:r>
      <w:proofErr w:type="spellEnd"/>
      <w:r w:rsidRPr="006313E8">
        <w:rPr>
          <w:sz w:val="20"/>
          <w:szCs w:val="20"/>
          <w:lang w:val="en-US"/>
        </w:rPr>
        <w:t xml:space="preserve"> LS</w:t>
      </w:r>
      <w:r w:rsidRPr="006313E8">
        <w:rPr>
          <w:i/>
          <w:iCs/>
          <w:sz w:val="20"/>
          <w:szCs w:val="20"/>
          <w:lang w:val="en-US"/>
        </w:rPr>
        <w:t> et al</w:t>
      </w:r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Liraglutide and Cardiovascular Outcomes in Type 2 Diabetes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New England Journal of Medicine </w:t>
      </w:r>
      <w:r w:rsidRPr="006313E8">
        <w:rPr>
          <w:sz w:val="20"/>
          <w:szCs w:val="20"/>
          <w:lang w:val="en-US"/>
        </w:rPr>
        <w:t>2016, </w:t>
      </w:r>
      <w:r w:rsidRPr="006313E8">
        <w:rPr>
          <w:b/>
          <w:bCs/>
          <w:sz w:val="20"/>
          <w:szCs w:val="20"/>
          <w:lang w:val="en-US"/>
        </w:rPr>
        <w:t>375</w:t>
      </w:r>
      <w:r w:rsidRPr="006313E8">
        <w:rPr>
          <w:sz w:val="20"/>
          <w:szCs w:val="20"/>
          <w:lang w:val="en-US"/>
        </w:rPr>
        <w:t>(4):311-322.</w:t>
      </w:r>
      <w:r w:rsidRPr="006313E8">
        <w:rPr>
          <w:sz w:val="20"/>
          <w:szCs w:val="20"/>
        </w:rPr>
        <w:t> </w:t>
      </w:r>
    </w:p>
    <w:p w14:paraId="4C069A0F" w14:textId="77777777" w:rsidR="00FF4C75" w:rsidRPr="00FF4C75" w:rsidRDefault="00FF4C75" w:rsidP="00FF4C75">
      <w:pPr>
        <w:rPr>
          <w:sz w:val="20"/>
          <w:szCs w:val="20"/>
        </w:rPr>
      </w:pPr>
    </w:p>
    <w:p w14:paraId="62FB8EE3" w14:textId="6A1B8C3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Marso</w:t>
      </w:r>
      <w:proofErr w:type="spellEnd"/>
      <w:r w:rsidRPr="006313E8">
        <w:rPr>
          <w:sz w:val="20"/>
          <w:szCs w:val="20"/>
          <w:lang w:val="en-US"/>
        </w:rPr>
        <w:t xml:space="preserve"> SP, Bain SC, </w:t>
      </w:r>
      <w:proofErr w:type="spellStart"/>
      <w:r w:rsidRPr="006313E8">
        <w:rPr>
          <w:sz w:val="20"/>
          <w:szCs w:val="20"/>
          <w:lang w:val="en-US"/>
        </w:rPr>
        <w:t>Consoli</w:t>
      </w:r>
      <w:proofErr w:type="spellEnd"/>
      <w:r w:rsidRPr="006313E8">
        <w:rPr>
          <w:sz w:val="20"/>
          <w:szCs w:val="20"/>
          <w:lang w:val="en-US"/>
        </w:rPr>
        <w:t xml:space="preserve"> A, </w:t>
      </w:r>
      <w:proofErr w:type="spellStart"/>
      <w:r w:rsidRPr="006313E8">
        <w:rPr>
          <w:sz w:val="20"/>
          <w:szCs w:val="20"/>
          <w:lang w:val="en-US"/>
        </w:rPr>
        <w:t>Eliaschewitz</w:t>
      </w:r>
      <w:proofErr w:type="spellEnd"/>
      <w:r w:rsidRPr="006313E8">
        <w:rPr>
          <w:sz w:val="20"/>
          <w:szCs w:val="20"/>
          <w:lang w:val="en-US"/>
        </w:rPr>
        <w:t xml:space="preserve"> FG, </w:t>
      </w:r>
      <w:proofErr w:type="spellStart"/>
      <w:r w:rsidRPr="006313E8">
        <w:rPr>
          <w:sz w:val="20"/>
          <w:szCs w:val="20"/>
          <w:lang w:val="en-US"/>
        </w:rPr>
        <w:t>Jódar</w:t>
      </w:r>
      <w:proofErr w:type="spellEnd"/>
      <w:r w:rsidRPr="006313E8">
        <w:rPr>
          <w:sz w:val="20"/>
          <w:szCs w:val="20"/>
          <w:lang w:val="en-US"/>
        </w:rPr>
        <w:t xml:space="preserve"> E, Leiter LA, </w:t>
      </w:r>
      <w:proofErr w:type="spellStart"/>
      <w:r w:rsidRPr="006313E8">
        <w:rPr>
          <w:sz w:val="20"/>
          <w:szCs w:val="20"/>
          <w:lang w:val="en-US"/>
        </w:rPr>
        <w:t>Lingvay</w:t>
      </w:r>
      <w:proofErr w:type="spellEnd"/>
      <w:r w:rsidRPr="006313E8">
        <w:rPr>
          <w:sz w:val="20"/>
          <w:szCs w:val="20"/>
          <w:lang w:val="en-US"/>
        </w:rPr>
        <w:t xml:space="preserve"> I, Rosenstock J, Seufert J, Warren ML: </w:t>
      </w:r>
      <w:proofErr w:type="spellStart"/>
      <w:r w:rsidRPr="006313E8">
        <w:rPr>
          <w:b/>
          <w:bCs/>
          <w:sz w:val="20"/>
          <w:szCs w:val="20"/>
          <w:lang w:val="en-US"/>
        </w:rPr>
        <w:t>Semaglutide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and cardiovascular outcomes in patients with type 2 diabetes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New England Journal of Medicine </w:t>
      </w:r>
      <w:r w:rsidRPr="006313E8">
        <w:rPr>
          <w:sz w:val="20"/>
          <w:szCs w:val="20"/>
          <w:lang w:val="en-US"/>
        </w:rPr>
        <w:t>2016, </w:t>
      </w:r>
      <w:r w:rsidRPr="006313E8">
        <w:rPr>
          <w:b/>
          <w:bCs/>
          <w:sz w:val="20"/>
          <w:szCs w:val="20"/>
          <w:lang w:val="en-US"/>
        </w:rPr>
        <w:t>375</w:t>
      </w:r>
      <w:r w:rsidRPr="006313E8">
        <w:rPr>
          <w:sz w:val="20"/>
          <w:szCs w:val="20"/>
          <w:lang w:val="en-US"/>
        </w:rPr>
        <w:t>(19):1834-1844.</w:t>
      </w:r>
      <w:r w:rsidRPr="006313E8">
        <w:rPr>
          <w:sz w:val="20"/>
          <w:szCs w:val="20"/>
        </w:rPr>
        <w:t> </w:t>
      </w:r>
    </w:p>
    <w:p w14:paraId="3DDE1CA0" w14:textId="77777777" w:rsidR="00FF4C75" w:rsidRPr="00FF4C75" w:rsidRDefault="00FF4C75" w:rsidP="00FF4C75">
      <w:pPr>
        <w:rPr>
          <w:sz w:val="20"/>
          <w:szCs w:val="20"/>
        </w:rPr>
      </w:pPr>
    </w:p>
    <w:p w14:paraId="67A58203" w14:textId="3B26CBE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Neal B, </w:t>
      </w:r>
      <w:proofErr w:type="spellStart"/>
      <w:r w:rsidRPr="006313E8">
        <w:rPr>
          <w:sz w:val="20"/>
          <w:szCs w:val="20"/>
          <w:lang w:val="en-US"/>
        </w:rPr>
        <w:t>Perkovic</w:t>
      </w:r>
      <w:proofErr w:type="spellEnd"/>
      <w:r w:rsidRPr="006313E8">
        <w:rPr>
          <w:sz w:val="20"/>
          <w:szCs w:val="20"/>
          <w:lang w:val="en-US"/>
        </w:rPr>
        <w:t xml:space="preserve"> V, Mahaffey KW, de </w:t>
      </w:r>
      <w:proofErr w:type="spellStart"/>
      <w:r w:rsidRPr="006313E8">
        <w:rPr>
          <w:sz w:val="20"/>
          <w:szCs w:val="20"/>
          <w:lang w:val="en-US"/>
        </w:rPr>
        <w:t>Zeeuw</w:t>
      </w:r>
      <w:proofErr w:type="spellEnd"/>
      <w:r w:rsidRPr="006313E8">
        <w:rPr>
          <w:sz w:val="20"/>
          <w:szCs w:val="20"/>
          <w:lang w:val="en-US"/>
        </w:rPr>
        <w:t xml:space="preserve"> D, Fulcher G, </w:t>
      </w:r>
      <w:proofErr w:type="spellStart"/>
      <w:r w:rsidRPr="006313E8">
        <w:rPr>
          <w:sz w:val="20"/>
          <w:szCs w:val="20"/>
          <w:lang w:val="en-US"/>
        </w:rPr>
        <w:t>Erondu</w:t>
      </w:r>
      <w:proofErr w:type="spellEnd"/>
      <w:r w:rsidRPr="006313E8">
        <w:rPr>
          <w:sz w:val="20"/>
          <w:szCs w:val="20"/>
          <w:lang w:val="en-US"/>
        </w:rPr>
        <w:t xml:space="preserve"> N, Shaw W, Law G, Desai M, Matthews DR: </w:t>
      </w:r>
      <w:r w:rsidRPr="006313E8">
        <w:rPr>
          <w:b/>
          <w:bCs/>
          <w:sz w:val="20"/>
          <w:szCs w:val="20"/>
          <w:lang w:val="en-US"/>
        </w:rPr>
        <w:t>Canagliflozin and Cardiovascular and Renal Events in Type 2 Diabetes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New England Journal of Medicine </w:t>
      </w:r>
      <w:r w:rsidRPr="006313E8">
        <w:rPr>
          <w:sz w:val="20"/>
          <w:szCs w:val="20"/>
          <w:lang w:val="en-US"/>
        </w:rPr>
        <w:t>2017.</w:t>
      </w:r>
      <w:r w:rsidRPr="006313E8">
        <w:rPr>
          <w:sz w:val="20"/>
          <w:szCs w:val="20"/>
        </w:rPr>
        <w:t> </w:t>
      </w:r>
    </w:p>
    <w:p w14:paraId="5A693CE6" w14:textId="77777777" w:rsidR="00FF4C75" w:rsidRPr="00FF4C75" w:rsidRDefault="00FF4C75" w:rsidP="00FF4C75">
      <w:pPr>
        <w:rPr>
          <w:sz w:val="20"/>
          <w:szCs w:val="20"/>
        </w:rPr>
      </w:pPr>
    </w:p>
    <w:p w14:paraId="5379AE57" w14:textId="11CC483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AACE/ACE: </w:t>
      </w:r>
      <w:r w:rsidRPr="006313E8">
        <w:rPr>
          <w:b/>
          <w:bCs/>
          <w:sz w:val="20"/>
          <w:szCs w:val="20"/>
          <w:lang w:val="en-US"/>
        </w:rPr>
        <w:t>CONSENSUS STATEMENT BY THE AMERICAN ASSOCIATION OF CLINICAL ENDOCRINOLOGISTS AND AMERICAN COLLEGE OF ENDOCRINOLOGY ON THE COMPREHENSIVE TYPE 2 DIABETES MANAGEMENT ALGORITHM – 2019 EXECUTIVE SUMMARY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Endocrine Practice </w:t>
      </w:r>
      <w:r w:rsidRPr="006313E8">
        <w:rPr>
          <w:sz w:val="20"/>
          <w:szCs w:val="20"/>
          <w:lang w:val="en-US"/>
        </w:rPr>
        <w:t>2019, </w:t>
      </w:r>
      <w:r w:rsidRPr="006313E8">
        <w:rPr>
          <w:b/>
          <w:bCs/>
          <w:sz w:val="20"/>
          <w:szCs w:val="20"/>
          <w:lang w:val="en-US"/>
        </w:rPr>
        <w:t>25</w:t>
      </w:r>
      <w:r w:rsidRPr="006313E8">
        <w:rPr>
          <w:sz w:val="20"/>
          <w:szCs w:val="20"/>
          <w:lang w:val="en-US"/>
        </w:rPr>
        <w:t>.</w:t>
      </w:r>
      <w:r w:rsidRPr="006313E8">
        <w:rPr>
          <w:sz w:val="20"/>
          <w:szCs w:val="20"/>
        </w:rPr>
        <w:t> </w:t>
      </w:r>
    </w:p>
    <w:p w14:paraId="64FBFEA9" w14:textId="77777777" w:rsidR="00FF4C75" w:rsidRPr="00FF4C75" w:rsidRDefault="00FF4C75" w:rsidP="00FF4C75">
      <w:pPr>
        <w:rPr>
          <w:sz w:val="20"/>
          <w:szCs w:val="20"/>
        </w:rPr>
      </w:pPr>
    </w:p>
    <w:p w14:paraId="7E22261B" w14:textId="5E7BA1B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Conditions </w:t>
      </w:r>
      <w:proofErr w:type="spellStart"/>
      <w:r w:rsidRPr="006313E8">
        <w:rPr>
          <w:sz w:val="20"/>
          <w:szCs w:val="20"/>
          <w:lang w:val="en-US"/>
        </w:rPr>
        <w:t>NCCfC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Type 2 diabetes: national clinical guideline for management in primary and secondary care (update)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 London: Royal College of Physicians; 2014.</w:t>
      </w:r>
      <w:r w:rsidRPr="006313E8">
        <w:rPr>
          <w:sz w:val="20"/>
          <w:szCs w:val="20"/>
        </w:rPr>
        <w:t> </w:t>
      </w:r>
    </w:p>
    <w:p w14:paraId="47F79217" w14:textId="77777777" w:rsidR="00FF4C75" w:rsidRPr="00FF4C75" w:rsidRDefault="00FF4C75" w:rsidP="00FF4C75">
      <w:pPr>
        <w:rPr>
          <w:sz w:val="20"/>
          <w:szCs w:val="20"/>
        </w:rPr>
      </w:pPr>
    </w:p>
    <w:p w14:paraId="7F1CC63A" w14:textId="6F6D7A49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CADTH: </w:t>
      </w:r>
      <w:r w:rsidRPr="006313E8">
        <w:rPr>
          <w:b/>
          <w:bCs/>
          <w:sz w:val="20"/>
          <w:szCs w:val="20"/>
          <w:lang w:val="en-US"/>
        </w:rPr>
        <w:t>New Drugs for Type 2 Diabetes: Second-Line Therapy - Recommendations Report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CADTH therapeutic review </w:t>
      </w:r>
      <w:r w:rsidRPr="006313E8">
        <w:rPr>
          <w:sz w:val="20"/>
          <w:szCs w:val="20"/>
          <w:lang w:val="en-US"/>
        </w:rPr>
        <w:t>2017 May, </w:t>
      </w:r>
      <w:r w:rsidRPr="006313E8">
        <w:rPr>
          <w:b/>
          <w:bCs/>
          <w:sz w:val="20"/>
          <w:szCs w:val="20"/>
          <w:lang w:val="en-US"/>
        </w:rPr>
        <w:t>4</w:t>
      </w:r>
      <w:r w:rsidRPr="006313E8">
        <w:rPr>
          <w:sz w:val="20"/>
          <w:szCs w:val="20"/>
          <w:lang w:val="en-US"/>
        </w:rPr>
        <w:t>(1c).</w:t>
      </w:r>
      <w:r w:rsidRPr="006313E8">
        <w:rPr>
          <w:sz w:val="20"/>
          <w:szCs w:val="20"/>
        </w:rPr>
        <w:t> </w:t>
      </w:r>
    </w:p>
    <w:p w14:paraId="55F94245" w14:textId="77777777" w:rsidR="00FF4C75" w:rsidRPr="00FF4C75" w:rsidRDefault="00FF4C75" w:rsidP="00FF4C75">
      <w:pPr>
        <w:rPr>
          <w:sz w:val="20"/>
          <w:szCs w:val="20"/>
        </w:rPr>
      </w:pPr>
    </w:p>
    <w:p w14:paraId="0DED98FB" w14:textId="37C86AD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Hux</w:t>
      </w:r>
      <w:proofErr w:type="spellEnd"/>
      <w:r w:rsidRPr="006313E8">
        <w:rPr>
          <w:sz w:val="20"/>
          <w:szCs w:val="20"/>
          <w:lang w:val="en-US"/>
        </w:rPr>
        <w:t xml:space="preserve"> J: </w:t>
      </w:r>
      <w:r w:rsidRPr="006313E8">
        <w:rPr>
          <w:b/>
          <w:bCs/>
          <w:sz w:val="20"/>
          <w:szCs w:val="20"/>
          <w:lang w:val="en-US"/>
        </w:rPr>
        <w:t>Subject: Diabetes Canada Feedback on New Drugs for Type 2 Diabetes: Second-Line Therapy: A Therapeutic Review Update</w:t>
      </w:r>
      <w:r w:rsidRPr="006313E8">
        <w:rPr>
          <w:sz w:val="20"/>
          <w:szCs w:val="20"/>
          <w:lang w:val="en-US"/>
        </w:rPr>
        <w:t>. 2017.</w:t>
      </w:r>
      <w:r w:rsidRPr="006313E8">
        <w:rPr>
          <w:sz w:val="20"/>
          <w:szCs w:val="20"/>
        </w:rPr>
        <w:t> </w:t>
      </w:r>
    </w:p>
    <w:p w14:paraId="1EB72DF8" w14:textId="77777777" w:rsidR="00FF4C75" w:rsidRPr="00FF4C75" w:rsidRDefault="00FF4C75" w:rsidP="00FF4C75">
      <w:pPr>
        <w:rPr>
          <w:sz w:val="20"/>
          <w:szCs w:val="20"/>
        </w:rPr>
      </w:pPr>
    </w:p>
    <w:p w14:paraId="6F129D0A" w14:textId="17E023C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Arnason</w:t>
      </w:r>
      <w:proofErr w:type="spellEnd"/>
      <w:r w:rsidRPr="006313E8">
        <w:rPr>
          <w:sz w:val="20"/>
          <w:szCs w:val="20"/>
          <w:lang w:val="en-US"/>
        </w:rPr>
        <w:t xml:space="preserve"> T, Mansell K: </w:t>
      </w:r>
      <w:r w:rsidRPr="006313E8">
        <w:rPr>
          <w:b/>
          <w:bCs/>
          <w:sz w:val="20"/>
          <w:szCs w:val="20"/>
          <w:lang w:val="en-US"/>
        </w:rPr>
        <w:t>Diabetes Mellitus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Therapeutics.</w:t>
      </w:r>
      <w:r w:rsidRPr="006313E8">
        <w:rPr>
          <w:sz w:val="20"/>
          <w:szCs w:val="20"/>
          <w:lang w:val="en-US"/>
        </w:rPr>
        <w:t xml:space="preserve"> Edited by </w:t>
      </w:r>
      <w:proofErr w:type="spellStart"/>
      <w:r w:rsidRPr="006313E8">
        <w:rPr>
          <w:sz w:val="20"/>
          <w:szCs w:val="20"/>
          <w:lang w:val="en-US"/>
        </w:rPr>
        <w:t>Jovaisas</w:t>
      </w:r>
      <w:proofErr w:type="spellEnd"/>
      <w:r w:rsidRPr="006313E8">
        <w:rPr>
          <w:sz w:val="20"/>
          <w:szCs w:val="20"/>
          <w:lang w:val="en-US"/>
        </w:rPr>
        <w:t xml:space="preserve"> B. Ottawa (ON): Canadian Pharmacists Association; 2017.</w:t>
      </w:r>
      <w:r w:rsidRPr="006313E8">
        <w:rPr>
          <w:sz w:val="20"/>
          <w:szCs w:val="20"/>
        </w:rPr>
        <w:t> </w:t>
      </w:r>
    </w:p>
    <w:p w14:paraId="0CC935BB" w14:textId="77777777" w:rsidR="00FF4C75" w:rsidRPr="00FF4C75" w:rsidRDefault="00FF4C75" w:rsidP="00FF4C75">
      <w:pPr>
        <w:rPr>
          <w:sz w:val="20"/>
          <w:szCs w:val="20"/>
        </w:rPr>
      </w:pPr>
    </w:p>
    <w:p w14:paraId="381F69E4" w14:textId="3939E3A6" w:rsidR="006313E8" w:rsidRP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RxFiles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Anti-hyperglycemic agents: comparison chart</w:t>
      </w:r>
      <w:r w:rsidRPr="006313E8">
        <w:rPr>
          <w:sz w:val="20"/>
          <w:szCs w:val="20"/>
        </w:rPr>
        <w:t> </w:t>
      </w:r>
    </w:p>
    <w:p w14:paraId="56F196A3" w14:textId="6F99C8F7" w:rsidR="00FF4C75" w:rsidRDefault="006313E8" w:rsidP="00BF298B">
      <w:pPr>
        <w:rPr>
          <w:sz w:val="20"/>
          <w:szCs w:val="20"/>
        </w:rPr>
      </w:pPr>
      <w:r w:rsidRPr="00BF298B">
        <w:rPr>
          <w:sz w:val="20"/>
          <w:szCs w:val="20"/>
          <w:lang w:val="en-US"/>
        </w:rPr>
        <w:t>In: </w:t>
      </w:r>
      <w:proofErr w:type="spellStart"/>
      <w:r w:rsidRPr="00BF298B">
        <w:rPr>
          <w:i/>
          <w:iCs/>
          <w:sz w:val="20"/>
          <w:szCs w:val="20"/>
          <w:lang w:val="en-US"/>
        </w:rPr>
        <w:t>RxFiles</w:t>
      </w:r>
      <w:proofErr w:type="spellEnd"/>
      <w:r w:rsidRPr="00BF298B">
        <w:rPr>
          <w:i/>
          <w:iCs/>
          <w:sz w:val="20"/>
          <w:szCs w:val="20"/>
          <w:lang w:val="en-US"/>
        </w:rPr>
        <w:t xml:space="preserve"> Drug Comparison Charts.</w:t>
      </w:r>
      <w:r w:rsidRPr="00BF298B">
        <w:rPr>
          <w:sz w:val="20"/>
          <w:szCs w:val="20"/>
          <w:lang w:val="en-US"/>
        </w:rPr>
        <w:t xml:space="preserve"> Edited by </w:t>
      </w:r>
      <w:proofErr w:type="spellStart"/>
      <w:r w:rsidRPr="00BF298B">
        <w:rPr>
          <w:sz w:val="20"/>
          <w:szCs w:val="20"/>
          <w:lang w:val="en-US"/>
        </w:rPr>
        <w:t>Regier</w:t>
      </w:r>
      <w:proofErr w:type="spellEnd"/>
      <w:r w:rsidRPr="00BF298B">
        <w:rPr>
          <w:sz w:val="20"/>
          <w:szCs w:val="20"/>
          <w:lang w:val="en-US"/>
        </w:rPr>
        <w:t xml:space="preserve"> L, Jensen B, Rutherford L. Saskatoon, SK: Saskatoon Health Region; 2017.</w:t>
      </w:r>
      <w:r w:rsidRPr="00BF298B">
        <w:rPr>
          <w:sz w:val="20"/>
          <w:szCs w:val="20"/>
        </w:rPr>
        <w:t> </w:t>
      </w:r>
    </w:p>
    <w:p w14:paraId="79BF90CE" w14:textId="77777777" w:rsidR="00FF4C75" w:rsidRPr="00BF298B" w:rsidRDefault="00FF4C75" w:rsidP="00BF298B">
      <w:pPr>
        <w:rPr>
          <w:sz w:val="20"/>
          <w:szCs w:val="20"/>
        </w:rPr>
      </w:pPr>
    </w:p>
    <w:p w14:paraId="0CB3E5CC" w14:textId="4523306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lastRenderedPageBreak/>
        <w:t xml:space="preserve">Canadian Diabetes Association Clinical Practice Guidelines Expert C, Harper W, Clement M, Goldenberg R, Hanna A, Main A, </w:t>
      </w:r>
      <w:proofErr w:type="spellStart"/>
      <w:r w:rsidRPr="006313E8">
        <w:rPr>
          <w:sz w:val="20"/>
          <w:szCs w:val="20"/>
          <w:lang w:val="en-US"/>
        </w:rPr>
        <w:t>Retnakaran</w:t>
      </w:r>
      <w:proofErr w:type="spellEnd"/>
      <w:r w:rsidRPr="006313E8">
        <w:rPr>
          <w:sz w:val="20"/>
          <w:szCs w:val="20"/>
          <w:lang w:val="en-US"/>
        </w:rPr>
        <w:t xml:space="preserve"> R, </w:t>
      </w:r>
      <w:proofErr w:type="spellStart"/>
      <w:r w:rsidRPr="006313E8">
        <w:rPr>
          <w:sz w:val="20"/>
          <w:szCs w:val="20"/>
          <w:lang w:val="en-US"/>
        </w:rPr>
        <w:t>Sherifali</w:t>
      </w:r>
      <w:proofErr w:type="spellEnd"/>
      <w:r w:rsidRPr="006313E8">
        <w:rPr>
          <w:sz w:val="20"/>
          <w:szCs w:val="20"/>
          <w:lang w:val="en-US"/>
        </w:rPr>
        <w:t xml:space="preserve"> D, Woo V, Yale JF: </w:t>
      </w:r>
      <w:r w:rsidRPr="006313E8">
        <w:rPr>
          <w:b/>
          <w:bCs/>
          <w:sz w:val="20"/>
          <w:szCs w:val="20"/>
          <w:lang w:val="en-US"/>
        </w:rPr>
        <w:t>Pharmacologic management of type 2 diabetes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Can J Diabetes </w:t>
      </w:r>
      <w:r w:rsidRPr="006313E8">
        <w:rPr>
          <w:sz w:val="20"/>
          <w:szCs w:val="20"/>
          <w:lang w:val="en-US"/>
        </w:rPr>
        <w:t>2013, </w:t>
      </w:r>
      <w:r w:rsidRPr="006313E8">
        <w:rPr>
          <w:b/>
          <w:bCs/>
          <w:sz w:val="20"/>
          <w:szCs w:val="20"/>
          <w:lang w:val="en-US"/>
        </w:rPr>
        <w:t>37 Suppl 1</w:t>
      </w:r>
      <w:r w:rsidRPr="006313E8">
        <w:rPr>
          <w:sz w:val="20"/>
          <w:szCs w:val="20"/>
          <w:lang w:val="en-US"/>
        </w:rPr>
        <w:t>:S61-68.</w:t>
      </w:r>
      <w:r w:rsidRPr="006313E8">
        <w:rPr>
          <w:sz w:val="20"/>
          <w:szCs w:val="20"/>
        </w:rPr>
        <w:t> </w:t>
      </w:r>
    </w:p>
    <w:p w14:paraId="7204220D" w14:textId="77777777" w:rsidR="00FF4C75" w:rsidRPr="006313E8" w:rsidRDefault="00FF4C75" w:rsidP="00FF4C75">
      <w:pPr>
        <w:pStyle w:val="ListParagraph"/>
        <w:ind w:left="851"/>
        <w:rPr>
          <w:sz w:val="20"/>
          <w:szCs w:val="20"/>
        </w:rPr>
      </w:pPr>
    </w:p>
    <w:p w14:paraId="6C8387D1" w14:textId="0AD630B6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Dynamed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Diabetes mellitus type 2 in adults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 Ipswich, MA: EBSCO Information Services; 2015.</w:t>
      </w:r>
      <w:r w:rsidRPr="006313E8">
        <w:rPr>
          <w:sz w:val="20"/>
          <w:szCs w:val="20"/>
        </w:rPr>
        <w:t> </w:t>
      </w:r>
    </w:p>
    <w:p w14:paraId="561764F2" w14:textId="77777777" w:rsidR="00FF4C75" w:rsidRPr="00FF4C75" w:rsidRDefault="00FF4C75" w:rsidP="00FF4C75">
      <w:pPr>
        <w:rPr>
          <w:sz w:val="20"/>
          <w:szCs w:val="20"/>
        </w:rPr>
      </w:pPr>
    </w:p>
    <w:p w14:paraId="0CFE4C6C" w14:textId="239B2FA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NICE: </w:t>
      </w:r>
      <w:r w:rsidRPr="006313E8">
        <w:rPr>
          <w:b/>
          <w:bCs/>
          <w:sz w:val="20"/>
          <w:szCs w:val="20"/>
          <w:lang w:val="en-US"/>
        </w:rPr>
        <w:t>Type 2 diabetes in adults: management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NICE Guideline.</w:t>
      </w:r>
      <w:r w:rsidRPr="006313E8">
        <w:rPr>
          <w:sz w:val="20"/>
          <w:szCs w:val="20"/>
          <w:lang w:val="en-US"/>
        </w:rPr>
        <w:t> vol. NG28. London: National Institute for Health and Care Excellence; 2015.</w:t>
      </w:r>
      <w:r w:rsidRPr="006313E8">
        <w:rPr>
          <w:sz w:val="20"/>
          <w:szCs w:val="20"/>
        </w:rPr>
        <w:t> </w:t>
      </w:r>
    </w:p>
    <w:p w14:paraId="137F0457" w14:textId="77777777" w:rsidR="00FF4C75" w:rsidRPr="006313E8" w:rsidRDefault="00FF4C75" w:rsidP="00FF4C75">
      <w:pPr>
        <w:pStyle w:val="ListParagraph"/>
        <w:ind w:left="851"/>
        <w:rPr>
          <w:sz w:val="20"/>
          <w:szCs w:val="20"/>
        </w:rPr>
      </w:pPr>
    </w:p>
    <w:p w14:paraId="12C68981" w14:textId="7E97645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NICE: </w:t>
      </w:r>
      <w:r w:rsidRPr="006313E8">
        <w:rPr>
          <w:b/>
          <w:bCs/>
          <w:sz w:val="20"/>
          <w:szCs w:val="20"/>
          <w:lang w:val="en-US"/>
        </w:rPr>
        <w:t>The management of type 2 diabetes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 xml:space="preserve">, vol. CG87. London: National </w:t>
      </w:r>
      <w:proofErr w:type="spellStart"/>
      <w:r w:rsidRPr="006313E8">
        <w:rPr>
          <w:sz w:val="20"/>
          <w:szCs w:val="20"/>
          <w:lang w:val="en-US"/>
        </w:rPr>
        <w:t>Institite</w:t>
      </w:r>
      <w:proofErr w:type="spellEnd"/>
      <w:r w:rsidRPr="006313E8">
        <w:rPr>
          <w:sz w:val="20"/>
          <w:szCs w:val="20"/>
          <w:lang w:val="en-US"/>
        </w:rPr>
        <w:t xml:space="preserve"> for Health and Care Excellence; 2014.</w:t>
      </w:r>
      <w:r w:rsidRPr="006313E8">
        <w:rPr>
          <w:sz w:val="20"/>
          <w:szCs w:val="20"/>
        </w:rPr>
        <w:t> </w:t>
      </w:r>
    </w:p>
    <w:p w14:paraId="10F0C9E7" w14:textId="77777777" w:rsidR="00FF4C75" w:rsidRPr="00FF4C75" w:rsidRDefault="00FF4C75" w:rsidP="00FF4C75">
      <w:pPr>
        <w:rPr>
          <w:sz w:val="20"/>
          <w:szCs w:val="20"/>
        </w:rPr>
      </w:pPr>
    </w:p>
    <w:p w14:paraId="6595CB2A" w14:textId="12C2C302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SIGN: </w:t>
      </w:r>
      <w:r w:rsidRPr="006313E8">
        <w:rPr>
          <w:b/>
          <w:bCs/>
          <w:sz w:val="20"/>
          <w:szCs w:val="20"/>
          <w:lang w:val="en-US"/>
        </w:rPr>
        <w:t>Management of diabetes: a national clinical guideline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, vol. 116. Edinburgh: Scottish Intercollegiate Guidelines Network; 2010.</w:t>
      </w:r>
      <w:r w:rsidRPr="006313E8">
        <w:rPr>
          <w:sz w:val="20"/>
          <w:szCs w:val="20"/>
        </w:rPr>
        <w:t> </w:t>
      </w:r>
    </w:p>
    <w:p w14:paraId="54BFE031" w14:textId="77777777" w:rsidR="00C81BCF" w:rsidRPr="00C81BCF" w:rsidRDefault="00C81BCF" w:rsidP="00C81BCF">
      <w:pPr>
        <w:rPr>
          <w:sz w:val="20"/>
          <w:szCs w:val="20"/>
        </w:rPr>
      </w:pPr>
    </w:p>
    <w:p w14:paraId="3E9FF807" w14:textId="58F05E6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Harper W, Clement M, Goldenberg R, Hanna A, Main A, </w:t>
      </w:r>
      <w:proofErr w:type="spellStart"/>
      <w:r w:rsidRPr="006313E8">
        <w:rPr>
          <w:sz w:val="20"/>
          <w:szCs w:val="20"/>
          <w:lang w:val="en-US"/>
        </w:rPr>
        <w:t>Retnakaran</w:t>
      </w:r>
      <w:proofErr w:type="spellEnd"/>
      <w:r w:rsidRPr="006313E8">
        <w:rPr>
          <w:sz w:val="20"/>
          <w:szCs w:val="20"/>
          <w:lang w:val="en-US"/>
        </w:rPr>
        <w:t xml:space="preserve"> R, </w:t>
      </w:r>
      <w:proofErr w:type="spellStart"/>
      <w:r w:rsidRPr="006313E8">
        <w:rPr>
          <w:sz w:val="20"/>
          <w:szCs w:val="20"/>
          <w:lang w:val="en-US"/>
        </w:rPr>
        <w:t>Sherifali</w:t>
      </w:r>
      <w:proofErr w:type="spellEnd"/>
      <w:r w:rsidRPr="006313E8">
        <w:rPr>
          <w:sz w:val="20"/>
          <w:szCs w:val="20"/>
          <w:lang w:val="en-US"/>
        </w:rPr>
        <w:t xml:space="preserve"> D, Woo V, Yale J-F: </w:t>
      </w:r>
      <w:r w:rsidRPr="006313E8">
        <w:rPr>
          <w:b/>
          <w:bCs/>
          <w:sz w:val="20"/>
          <w:szCs w:val="20"/>
          <w:lang w:val="en-US"/>
        </w:rPr>
        <w:t>Pharmacologic Management of Type 2 Diabetes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Canadian Journal of Diabetes </w:t>
      </w:r>
      <w:r w:rsidRPr="006313E8">
        <w:rPr>
          <w:sz w:val="20"/>
          <w:szCs w:val="20"/>
          <w:lang w:val="en-US"/>
        </w:rPr>
        <w:t>2013, </w:t>
      </w:r>
      <w:r w:rsidRPr="006313E8">
        <w:rPr>
          <w:b/>
          <w:bCs/>
          <w:sz w:val="20"/>
          <w:szCs w:val="20"/>
          <w:lang w:val="en-US"/>
        </w:rPr>
        <w:t>37, Supplement 1</w:t>
      </w:r>
      <w:r w:rsidRPr="006313E8">
        <w:rPr>
          <w:sz w:val="20"/>
          <w:szCs w:val="20"/>
          <w:lang w:val="en-US"/>
        </w:rPr>
        <w:t>:S61-S68.</w:t>
      </w:r>
      <w:r w:rsidRPr="006313E8">
        <w:rPr>
          <w:sz w:val="20"/>
          <w:szCs w:val="20"/>
        </w:rPr>
        <w:t> </w:t>
      </w:r>
    </w:p>
    <w:p w14:paraId="18627D59" w14:textId="77777777" w:rsidR="00C81BCF" w:rsidRPr="00C81BCF" w:rsidRDefault="00C81BCF" w:rsidP="00C81BCF">
      <w:pPr>
        <w:rPr>
          <w:sz w:val="20"/>
          <w:szCs w:val="20"/>
        </w:rPr>
      </w:pPr>
    </w:p>
    <w:p w14:paraId="19FB025B" w14:textId="3CBD79F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Second- and Third-Line Pharmacotherapy for Type 2 Diabetes: Update</w:t>
      </w:r>
      <w:r w:rsidRPr="006313E8">
        <w:rPr>
          <w:sz w:val="20"/>
          <w:szCs w:val="20"/>
          <w:lang w:val="en-US"/>
        </w:rPr>
        <w:t xml:space="preserve">. Ottawa ON: </w:t>
      </w:r>
      <w:proofErr w:type="spellStart"/>
      <w:r w:rsidRPr="006313E8">
        <w:rPr>
          <w:sz w:val="20"/>
          <w:szCs w:val="20"/>
          <w:lang w:val="en-US"/>
        </w:rPr>
        <w:t>Cadth</w:t>
      </w:r>
      <w:proofErr w:type="spellEnd"/>
      <w:r w:rsidRPr="006313E8">
        <w:rPr>
          <w:sz w:val="20"/>
          <w:szCs w:val="20"/>
          <w:lang w:val="en-US"/>
        </w:rPr>
        <w:t xml:space="preserve"> 2013.; 2013.</w:t>
      </w:r>
      <w:r w:rsidRPr="006313E8">
        <w:rPr>
          <w:sz w:val="20"/>
          <w:szCs w:val="20"/>
        </w:rPr>
        <w:t> </w:t>
      </w:r>
    </w:p>
    <w:p w14:paraId="4BFC898D" w14:textId="77777777" w:rsidR="00C81BCF" w:rsidRPr="00C81BCF" w:rsidRDefault="00C81BCF" w:rsidP="00C81BCF">
      <w:pPr>
        <w:rPr>
          <w:sz w:val="20"/>
          <w:szCs w:val="20"/>
        </w:rPr>
      </w:pPr>
    </w:p>
    <w:p w14:paraId="4D96206B" w14:textId="4D2A05F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Liu SC, Tu YK, </w:t>
      </w:r>
      <w:proofErr w:type="spellStart"/>
      <w:r w:rsidRPr="006313E8">
        <w:rPr>
          <w:sz w:val="20"/>
          <w:szCs w:val="20"/>
          <w:lang w:val="en-US"/>
        </w:rPr>
        <w:t>Chien</w:t>
      </w:r>
      <w:proofErr w:type="spellEnd"/>
      <w:r w:rsidRPr="006313E8">
        <w:rPr>
          <w:sz w:val="20"/>
          <w:szCs w:val="20"/>
          <w:lang w:val="en-US"/>
        </w:rPr>
        <w:t xml:space="preserve"> MN, </w:t>
      </w:r>
      <w:proofErr w:type="spellStart"/>
      <w:r w:rsidRPr="006313E8">
        <w:rPr>
          <w:sz w:val="20"/>
          <w:szCs w:val="20"/>
          <w:lang w:val="en-US"/>
        </w:rPr>
        <w:t>Chien</w:t>
      </w:r>
      <w:proofErr w:type="spellEnd"/>
      <w:r w:rsidRPr="006313E8">
        <w:rPr>
          <w:sz w:val="20"/>
          <w:szCs w:val="20"/>
          <w:lang w:val="en-US"/>
        </w:rPr>
        <w:t xml:space="preserve"> KL: </w:t>
      </w:r>
      <w:r w:rsidRPr="006313E8">
        <w:rPr>
          <w:b/>
          <w:bCs/>
          <w:sz w:val="20"/>
          <w:szCs w:val="20"/>
          <w:lang w:val="en-US"/>
        </w:rPr>
        <w:t xml:space="preserve">Effect of antidiabetic agents added to metformin on </w:t>
      </w:r>
      <w:proofErr w:type="spellStart"/>
      <w:r w:rsidRPr="006313E8">
        <w:rPr>
          <w:b/>
          <w:bCs/>
          <w:sz w:val="20"/>
          <w:szCs w:val="20"/>
          <w:lang w:val="en-US"/>
        </w:rPr>
        <w:t>glycaemic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control, </w:t>
      </w:r>
      <w:proofErr w:type="spellStart"/>
      <w:r w:rsidRPr="006313E8">
        <w:rPr>
          <w:b/>
          <w:bCs/>
          <w:sz w:val="20"/>
          <w:szCs w:val="20"/>
          <w:lang w:val="en-US"/>
        </w:rPr>
        <w:t>hypoglycaemia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and weight change in patients with type 2 diabetes: a network meta-analysis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Diabetes, obesity &amp; metabolism </w:t>
      </w:r>
      <w:r w:rsidRPr="006313E8">
        <w:rPr>
          <w:sz w:val="20"/>
          <w:szCs w:val="20"/>
          <w:lang w:val="en-US"/>
        </w:rPr>
        <w:t>2012, </w:t>
      </w:r>
      <w:r w:rsidRPr="006313E8">
        <w:rPr>
          <w:b/>
          <w:bCs/>
          <w:sz w:val="20"/>
          <w:szCs w:val="20"/>
          <w:lang w:val="en-US"/>
        </w:rPr>
        <w:t>14</w:t>
      </w:r>
      <w:r w:rsidRPr="006313E8">
        <w:rPr>
          <w:sz w:val="20"/>
          <w:szCs w:val="20"/>
          <w:lang w:val="en-US"/>
        </w:rPr>
        <w:t>(9):810-820.</w:t>
      </w:r>
      <w:r w:rsidRPr="006313E8">
        <w:rPr>
          <w:sz w:val="20"/>
          <w:szCs w:val="20"/>
        </w:rPr>
        <w:t> </w:t>
      </w:r>
    </w:p>
    <w:p w14:paraId="6032CCCF" w14:textId="77777777" w:rsidR="00C81BCF" w:rsidRPr="00C81BCF" w:rsidRDefault="00C81BCF" w:rsidP="00C81BCF">
      <w:pPr>
        <w:rPr>
          <w:sz w:val="20"/>
          <w:szCs w:val="20"/>
        </w:rPr>
      </w:pPr>
    </w:p>
    <w:p w14:paraId="13668E07" w14:textId="302145B9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Phung OJ, Scholle JM, Talwar M, Coleman CI: </w:t>
      </w:r>
      <w:r w:rsidRPr="006313E8">
        <w:rPr>
          <w:b/>
          <w:bCs/>
          <w:sz w:val="20"/>
          <w:szCs w:val="20"/>
          <w:lang w:val="en-US"/>
        </w:rPr>
        <w:t>Effect of noninsulin antidiabetic drugs added to metformin therapy on glycemic control, weight gain, and hypoglycemia in type 2 diabetes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Jama </w:t>
      </w:r>
      <w:r w:rsidRPr="006313E8">
        <w:rPr>
          <w:sz w:val="20"/>
          <w:szCs w:val="20"/>
          <w:lang w:val="en-US"/>
        </w:rPr>
        <w:t>2010, </w:t>
      </w:r>
      <w:r w:rsidRPr="006313E8">
        <w:rPr>
          <w:b/>
          <w:bCs/>
          <w:sz w:val="20"/>
          <w:szCs w:val="20"/>
          <w:lang w:val="en-US"/>
        </w:rPr>
        <w:t>303</w:t>
      </w:r>
      <w:r w:rsidRPr="006313E8">
        <w:rPr>
          <w:sz w:val="20"/>
          <w:szCs w:val="20"/>
          <w:lang w:val="en-US"/>
        </w:rPr>
        <w:t>(14):1410-1418.</w:t>
      </w:r>
      <w:r w:rsidRPr="006313E8">
        <w:rPr>
          <w:sz w:val="20"/>
          <w:szCs w:val="20"/>
        </w:rPr>
        <w:t> </w:t>
      </w:r>
    </w:p>
    <w:p w14:paraId="077CA1BA" w14:textId="77777777" w:rsidR="00C81BCF" w:rsidRPr="00C81BCF" w:rsidRDefault="00C81BCF" w:rsidP="00C81BCF">
      <w:pPr>
        <w:rPr>
          <w:sz w:val="20"/>
          <w:szCs w:val="20"/>
        </w:rPr>
      </w:pPr>
    </w:p>
    <w:p w14:paraId="60635E42" w14:textId="1B5672B6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Brunton S: </w:t>
      </w:r>
      <w:r w:rsidRPr="006313E8">
        <w:rPr>
          <w:b/>
          <w:bCs/>
          <w:sz w:val="20"/>
          <w:szCs w:val="20"/>
          <w:lang w:val="en-US"/>
        </w:rPr>
        <w:t>GLP-1 receptor agonists vs. DPP-4 inhibitors for type 2 diabetes: is one approach more successful or preferable than the other?</w:t>
      </w:r>
      <w:r w:rsidRPr="006313E8">
        <w:rPr>
          <w:sz w:val="20"/>
          <w:szCs w:val="20"/>
          <w:lang w:val="en-US"/>
        </w:rPr>
        <w:t> </w:t>
      </w:r>
      <w:r w:rsidRPr="006313E8">
        <w:rPr>
          <w:i/>
          <w:iCs/>
          <w:sz w:val="20"/>
          <w:szCs w:val="20"/>
          <w:lang w:val="en-US"/>
        </w:rPr>
        <w:t>International journal of clinical practice </w:t>
      </w:r>
      <w:r w:rsidRPr="006313E8">
        <w:rPr>
          <w:sz w:val="20"/>
          <w:szCs w:val="20"/>
          <w:lang w:val="en-US"/>
        </w:rPr>
        <w:t>2014, </w:t>
      </w:r>
      <w:r w:rsidRPr="006313E8">
        <w:rPr>
          <w:b/>
          <w:bCs/>
          <w:sz w:val="20"/>
          <w:szCs w:val="20"/>
          <w:lang w:val="en-US"/>
        </w:rPr>
        <w:t>68</w:t>
      </w:r>
      <w:r w:rsidRPr="006313E8">
        <w:rPr>
          <w:sz w:val="20"/>
          <w:szCs w:val="20"/>
          <w:lang w:val="en-US"/>
        </w:rPr>
        <w:t>(5):557-567.</w:t>
      </w:r>
      <w:r w:rsidRPr="006313E8">
        <w:rPr>
          <w:sz w:val="20"/>
          <w:szCs w:val="20"/>
        </w:rPr>
        <w:t> </w:t>
      </w:r>
    </w:p>
    <w:p w14:paraId="5E7B82D6" w14:textId="77777777" w:rsidR="00C81BCF" w:rsidRPr="00C81BCF" w:rsidRDefault="00C81BCF" w:rsidP="00C81BCF">
      <w:pPr>
        <w:rPr>
          <w:sz w:val="20"/>
          <w:szCs w:val="20"/>
        </w:rPr>
      </w:pPr>
    </w:p>
    <w:p w14:paraId="5F240143" w14:textId="06F118A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Reid T: </w:t>
      </w:r>
      <w:r w:rsidRPr="006313E8">
        <w:rPr>
          <w:b/>
          <w:bCs/>
          <w:sz w:val="20"/>
          <w:szCs w:val="20"/>
          <w:lang w:val="en-US"/>
        </w:rPr>
        <w:t>Choosing GLP-1 Receptor Agonists or DPP-4 Inhibitors: Weighing the Clinical Trial Evidence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Clinical Diabetes </w:t>
      </w:r>
      <w:r w:rsidRPr="006313E8">
        <w:rPr>
          <w:sz w:val="20"/>
          <w:szCs w:val="20"/>
          <w:lang w:val="en-US"/>
        </w:rPr>
        <w:t>2012, </w:t>
      </w:r>
      <w:r w:rsidRPr="006313E8">
        <w:rPr>
          <w:b/>
          <w:bCs/>
          <w:sz w:val="20"/>
          <w:szCs w:val="20"/>
          <w:lang w:val="en-US"/>
        </w:rPr>
        <w:t>30</w:t>
      </w:r>
      <w:r w:rsidRPr="006313E8">
        <w:rPr>
          <w:sz w:val="20"/>
          <w:szCs w:val="20"/>
          <w:lang w:val="en-US"/>
        </w:rPr>
        <w:t>(1):3-12.</w:t>
      </w:r>
      <w:r w:rsidRPr="006313E8">
        <w:rPr>
          <w:sz w:val="20"/>
          <w:szCs w:val="20"/>
        </w:rPr>
        <w:t> </w:t>
      </w:r>
    </w:p>
    <w:p w14:paraId="6A4B7C8E" w14:textId="77777777" w:rsidR="00C81BCF" w:rsidRPr="00C81BCF" w:rsidRDefault="00C81BCF" w:rsidP="00C81BCF">
      <w:pPr>
        <w:rPr>
          <w:sz w:val="20"/>
          <w:szCs w:val="20"/>
        </w:rPr>
      </w:pPr>
    </w:p>
    <w:p w14:paraId="035147C7" w14:textId="413B7CB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Schernthaner</w:t>
      </w:r>
      <w:proofErr w:type="spellEnd"/>
      <w:r w:rsidRPr="006313E8">
        <w:rPr>
          <w:sz w:val="20"/>
          <w:szCs w:val="20"/>
          <w:lang w:val="en-US"/>
        </w:rPr>
        <w:t xml:space="preserve"> G, Gross JL, Rosenstock J, </w:t>
      </w:r>
      <w:proofErr w:type="spellStart"/>
      <w:r w:rsidRPr="006313E8">
        <w:rPr>
          <w:sz w:val="20"/>
          <w:szCs w:val="20"/>
          <w:lang w:val="en-US"/>
        </w:rPr>
        <w:t>Guarisco</w:t>
      </w:r>
      <w:proofErr w:type="spellEnd"/>
      <w:r w:rsidRPr="006313E8">
        <w:rPr>
          <w:sz w:val="20"/>
          <w:szCs w:val="20"/>
          <w:lang w:val="en-US"/>
        </w:rPr>
        <w:t xml:space="preserve"> M, Fu M, Yee J, Kawaguchi M, </w:t>
      </w:r>
      <w:proofErr w:type="spellStart"/>
      <w:r w:rsidRPr="006313E8">
        <w:rPr>
          <w:sz w:val="20"/>
          <w:szCs w:val="20"/>
          <w:lang w:val="en-US"/>
        </w:rPr>
        <w:t>Canovatchel</w:t>
      </w:r>
      <w:proofErr w:type="spellEnd"/>
      <w:r w:rsidRPr="006313E8">
        <w:rPr>
          <w:sz w:val="20"/>
          <w:szCs w:val="20"/>
          <w:lang w:val="en-US"/>
        </w:rPr>
        <w:t xml:space="preserve"> W, </w:t>
      </w:r>
      <w:proofErr w:type="spellStart"/>
      <w:r w:rsidRPr="006313E8">
        <w:rPr>
          <w:sz w:val="20"/>
          <w:szCs w:val="20"/>
          <w:lang w:val="en-US"/>
        </w:rPr>
        <w:t>Meininger</w:t>
      </w:r>
      <w:proofErr w:type="spellEnd"/>
      <w:r w:rsidRPr="006313E8">
        <w:rPr>
          <w:sz w:val="20"/>
          <w:szCs w:val="20"/>
          <w:lang w:val="en-US"/>
        </w:rPr>
        <w:t xml:space="preserve"> G: </w:t>
      </w:r>
      <w:r w:rsidRPr="006313E8">
        <w:rPr>
          <w:b/>
          <w:bCs/>
          <w:sz w:val="20"/>
          <w:szCs w:val="20"/>
          <w:lang w:val="en-US"/>
        </w:rPr>
        <w:t>Canagliflozin compared with sitagliptin for patients with type 2 diabetes who do not have adequate glycemic control with metformin plus sulfonylurea: a 52-week randomized trial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Diabetes Care </w:t>
      </w:r>
      <w:r w:rsidRPr="006313E8">
        <w:rPr>
          <w:sz w:val="20"/>
          <w:szCs w:val="20"/>
          <w:lang w:val="en-US"/>
        </w:rPr>
        <w:t>2013, </w:t>
      </w:r>
      <w:r w:rsidRPr="006313E8">
        <w:rPr>
          <w:b/>
          <w:bCs/>
          <w:sz w:val="20"/>
          <w:szCs w:val="20"/>
          <w:lang w:val="en-US"/>
        </w:rPr>
        <w:t>36</w:t>
      </w:r>
      <w:r w:rsidRPr="006313E8">
        <w:rPr>
          <w:sz w:val="20"/>
          <w:szCs w:val="20"/>
          <w:lang w:val="en-US"/>
        </w:rPr>
        <w:t>(9):2508-2515.</w:t>
      </w:r>
      <w:r w:rsidRPr="006313E8">
        <w:rPr>
          <w:sz w:val="20"/>
          <w:szCs w:val="20"/>
        </w:rPr>
        <w:t> </w:t>
      </w:r>
    </w:p>
    <w:p w14:paraId="222BCF1F" w14:textId="77777777" w:rsidR="00C81BCF" w:rsidRPr="00C81BCF" w:rsidRDefault="00C81BCF" w:rsidP="00C81BCF">
      <w:pPr>
        <w:rPr>
          <w:sz w:val="20"/>
          <w:szCs w:val="20"/>
        </w:rPr>
      </w:pPr>
    </w:p>
    <w:p w14:paraId="603B4800" w14:textId="5789B15E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Amate JM, Lopez-</w:t>
      </w:r>
      <w:proofErr w:type="spellStart"/>
      <w:r w:rsidRPr="006313E8">
        <w:rPr>
          <w:sz w:val="20"/>
          <w:szCs w:val="20"/>
          <w:lang w:val="en-US"/>
        </w:rPr>
        <w:t>Cuadrado</w:t>
      </w:r>
      <w:proofErr w:type="spellEnd"/>
      <w:r w:rsidRPr="006313E8">
        <w:rPr>
          <w:sz w:val="20"/>
          <w:szCs w:val="20"/>
          <w:lang w:val="en-US"/>
        </w:rPr>
        <w:t xml:space="preserve"> T, </w:t>
      </w:r>
      <w:proofErr w:type="spellStart"/>
      <w:r w:rsidRPr="006313E8">
        <w:rPr>
          <w:sz w:val="20"/>
          <w:szCs w:val="20"/>
          <w:lang w:val="en-US"/>
        </w:rPr>
        <w:t>Almendro</w:t>
      </w:r>
      <w:proofErr w:type="spellEnd"/>
      <w:r w:rsidRPr="006313E8">
        <w:rPr>
          <w:sz w:val="20"/>
          <w:szCs w:val="20"/>
          <w:lang w:val="en-US"/>
        </w:rPr>
        <w:t xml:space="preserve"> N, Bouza C, </w:t>
      </w:r>
      <w:proofErr w:type="spellStart"/>
      <w:r w:rsidRPr="006313E8">
        <w:rPr>
          <w:sz w:val="20"/>
          <w:szCs w:val="20"/>
          <w:lang w:val="en-US"/>
        </w:rPr>
        <w:t>Saz</w:t>
      </w:r>
      <w:proofErr w:type="spellEnd"/>
      <w:r w:rsidRPr="006313E8">
        <w:rPr>
          <w:sz w:val="20"/>
          <w:szCs w:val="20"/>
          <w:lang w:val="en-US"/>
        </w:rPr>
        <w:t>-Parkinson Z, Rivas-Ruiz R, Gonzalez-</w:t>
      </w:r>
      <w:proofErr w:type="spellStart"/>
      <w:r w:rsidRPr="006313E8">
        <w:rPr>
          <w:sz w:val="20"/>
          <w:szCs w:val="20"/>
          <w:lang w:val="en-US"/>
        </w:rPr>
        <w:t>Canudas</w:t>
      </w:r>
      <w:proofErr w:type="spellEnd"/>
      <w:r w:rsidRPr="006313E8">
        <w:rPr>
          <w:sz w:val="20"/>
          <w:szCs w:val="20"/>
          <w:lang w:val="en-US"/>
        </w:rPr>
        <w:t xml:space="preserve"> J: </w:t>
      </w:r>
      <w:r w:rsidRPr="006313E8">
        <w:rPr>
          <w:b/>
          <w:bCs/>
          <w:sz w:val="20"/>
          <w:szCs w:val="20"/>
          <w:lang w:val="en-US"/>
        </w:rPr>
        <w:t>Effectiveness and safety of glimepiride and iDPP4, associated with metformin in second line pharmacotherapy of type 2 diabetes mellitus: systematic review and meta-analysis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International journal of clinical practice </w:t>
      </w:r>
      <w:r w:rsidRPr="006313E8">
        <w:rPr>
          <w:sz w:val="20"/>
          <w:szCs w:val="20"/>
          <w:lang w:val="en-US"/>
        </w:rPr>
        <w:t>2015, </w:t>
      </w:r>
      <w:r w:rsidRPr="006313E8">
        <w:rPr>
          <w:b/>
          <w:bCs/>
          <w:sz w:val="20"/>
          <w:szCs w:val="20"/>
          <w:lang w:val="en-US"/>
        </w:rPr>
        <w:t>69</w:t>
      </w:r>
      <w:r w:rsidRPr="006313E8">
        <w:rPr>
          <w:sz w:val="20"/>
          <w:szCs w:val="20"/>
          <w:lang w:val="en-US"/>
        </w:rPr>
        <w:t>(3):292-304.</w:t>
      </w:r>
      <w:r w:rsidRPr="006313E8">
        <w:rPr>
          <w:sz w:val="20"/>
          <w:szCs w:val="20"/>
        </w:rPr>
        <w:t> </w:t>
      </w:r>
    </w:p>
    <w:p w14:paraId="586641C8" w14:textId="77777777" w:rsidR="00C81BCF" w:rsidRPr="00C81BCF" w:rsidRDefault="00C81BCF" w:rsidP="00C81BCF">
      <w:pPr>
        <w:rPr>
          <w:sz w:val="20"/>
          <w:szCs w:val="20"/>
        </w:rPr>
      </w:pPr>
    </w:p>
    <w:p w14:paraId="5D46165F" w14:textId="03AFDC0F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Cefalu</w:t>
      </w:r>
      <w:proofErr w:type="spellEnd"/>
      <w:r w:rsidRPr="006313E8">
        <w:rPr>
          <w:sz w:val="20"/>
          <w:szCs w:val="20"/>
          <w:lang w:val="en-US"/>
        </w:rPr>
        <w:t xml:space="preserve"> WT, Leiter LA, Yoon KH, Arias P, </w:t>
      </w:r>
      <w:proofErr w:type="spellStart"/>
      <w:r w:rsidRPr="006313E8">
        <w:rPr>
          <w:sz w:val="20"/>
          <w:szCs w:val="20"/>
          <w:lang w:val="en-US"/>
        </w:rPr>
        <w:t>Niskanen</w:t>
      </w:r>
      <w:proofErr w:type="spellEnd"/>
      <w:r w:rsidRPr="006313E8">
        <w:rPr>
          <w:sz w:val="20"/>
          <w:szCs w:val="20"/>
          <w:lang w:val="en-US"/>
        </w:rPr>
        <w:t xml:space="preserve"> L, </w:t>
      </w:r>
      <w:proofErr w:type="spellStart"/>
      <w:r w:rsidRPr="006313E8">
        <w:rPr>
          <w:sz w:val="20"/>
          <w:szCs w:val="20"/>
          <w:lang w:val="en-US"/>
        </w:rPr>
        <w:t>Xie</w:t>
      </w:r>
      <w:proofErr w:type="spellEnd"/>
      <w:r w:rsidRPr="006313E8">
        <w:rPr>
          <w:sz w:val="20"/>
          <w:szCs w:val="20"/>
          <w:lang w:val="en-US"/>
        </w:rPr>
        <w:t xml:space="preserve"> J, </w:t>
      </w:r>
      <w:proofErr w:type="spellStart"/>
      <w:r w:rsidRPr="006313E8">
        <w:rPr>
          <w:sz w:val="20"/>
          <w:szCs w:val="20"/>
          <w:lang w:val="en-US"/>
        </w:rPr>
        <w:t>Balis</w:t>
      </w:r>
      <w:proofErr w:type="spellEnd"/>
      <w:r w:rsidRPr="006313E8">
        <w:rPr>
          <w:sz w:val="20"/>
          <w:szCs w:val="20"/>
          <w:lang w:val="en-US"/>
        </w:rPr>
        <w:t xml:space="preserve"> DA, </w:t>
      </w:r>
      <w:proofErr w:type="spellStart"/>
      <w:r w:rsidRPr="006313E8">
        <w:rPr>
          <w:sz w:val="20"/>
          <w:szCs w:val="20"/>
          <w:lang w:val="en-US"/>
        </w:rPr>
        <w:t>Canovatchel</w:t>
      </w:r>
      <w:proofErr w:type="spellEnd"/>
      <w:r w:rsidRPr="006313E8">
        <w:rPr>
          <w:sz w:val="20"/>
          <w:szCs w:val="20"/>
          <w:lang w:val="en-US"/>
        </w:rPr>
        <w:t xml:space="preserve"> W, </w:t>
      </w:r>
      <w:proofErr w:type="spellStart"/>
      <w:r w:rsidRPr="006313E8">
        <w:rPr>
          <w:sz w:val="20"/>
          <w:szCs w:val="20"/>
          <w:lang w:val="en-US"/>
        </w:rPr>
        <w:t>Meininger</w:t>
      </w:r>
      <w:proofErr w:type="spellEnd"/>
      <w:r w:rsidRPr="006313E8">
        <w:rPr>
          <w:sz w:val="20"/>
          <w:szCs w:val="20"/>
          <w:lang w:val="en-US"/>
        </w:rPr>
        <w:t xml:space="preserve"> G: </w:t>
      </w:r>
      <w:r w:rsidRPr="006313E8">
        <w:rPr>
          <w:b/>
          <w:bCs/>
          <w:sz w:val="20"/>
          <w:szCs w:val="20"/>
          <w:lang w:val="en-US"/>
        </w:rPr>
        <w:t xml:space="preserve">Efficacy and safety of canagliflozin versus glimepiride in patients with type 2 diabetes inadequately controlled with metformin (CANTATA-SU): 52 week results from a </w:t>
      </w:r>
      <w:proofErr w:type="spellStart"/>
      <w:r w:rsidRPr="006313E8">
        <w:rPr>
          <w:b/>
          <w:bCs/>
          <w:sz w:val="20"/>
          <w:szCs w:val="20"/>
          <w:lang w:val="en-US"/>
        </w:rPr>
        <w:t>randomised</w:t>
      </w:r>
      <w:proofErr w:type="spellEnd"/>
      <w:r w:rsidRPr="006313E8">
        <w:rPr>
          <w:b/>
          <w:bCs/>
          <w:sz w:val="20"/>
          <w:szCs w:val="20"/>
          <w:lang w:val="en-US"/>
        </w:rPr>
        <w:t>, double-blind, phase 3 non-inferiority trial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Lancet (London, England) </w:t>
      </w:r>
      <w:r w:rsidRPr="006313E8">
        <w:rPr>
          <w:sz w:val="20"/>
          <w:szCs w:val="20"/>
          <w:lang w:val="en-US"/>
        </w:rPr>
        <w:t>2013, </w:t>
      </w:r>
      <w:r w:rsidRPr="006313E8">
        <w:rPr>
          <w:b/>
          <w:bCs/>
          <w:sz w:val="20"/>
          <w:szCs w:val="20"/>
          <w:lang w:val="en-US"/>
        </w:rPr>
        <w:t>382</w:t>
      </w:r>
      <w:r w:rsidRPr="006313E8">
        <w:rPr>
          <w:sz w:val="20"/>
          <w:szCs w:val="20"/>
          <w:lang w:val="en-US"/>
        </w:rPr>
        <w:t>(9896):941-950.</w:t>
      </w:r>
      <w:r w:rsidRPr="006313E8">
        <w:rPr>
          <w:sz w:val="20"/>
          <w:szCs w:val="20"/>
        </w:rPr>
        <w:t> </w:t>
      </w:r>
    </w:p>
    <w:p w14:paraId="0C99D3D7" w14:textId="77777777" w:rsidR="00C81BCF" w:rsidRPr="00C81BCF" w:rsidRDefault="00C81BCF" w:rsidP="00C81BCF">
      <w:pPr>
        <w:rPr>
          <w:sz w:val="20"/>
          <w:szCs w:val="20"/>
        </w:rPr>
      </w:pPr>
    </w:p>
    <w:p w14:paraId="64D51A58" w14:textId="1EF727F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lastRenderedPageBreak/>
        <w:t>Dynamed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Glycemic Goals in Type 2 Diabetes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 Ipswich, MA: EBSCO Information Services; 2015.</w:t>
      </w:r>
      <w:r w:rsidRPr="006313E8">
        <w:rPr>
          <w:sz w:val="20"/>
          <w:szCs w:val="20"/>
        </w:rPr>
        <w:t> </w:t>
      </w:r>
    </w:p>
    <w:p w14:paraId="0AC49CC0" w14:textId="77777777" w:rsidR="00C81BCF" w:rsidRPr="00C81BCF" w:rsidRDefault="00C81BCF" w:rsidP="00C81BCF">
      <w:pPr>
        <w:rPr>
          <w:sz w:val="20"/>
          <w:szCs w:val="20"/>
        </w:rPr>
      </w:pPr>
    </w:p>
    <w:p w14:paraId="5E608805" w14:textId="0413E8A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PL Detail-Document, Stepwise Treatment of Type 2 Diabetes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: Pharmacist's Letter/Prescriber's Letter; 2014.</w:t>
      </w:r>
      <w:r w:rsidRPr="006313E8">
        <w:rPr>
          <w:sz w:val="20"/>
          <w:szCs w:val="20"/>
        </w:rPr>
        <w:t> </w:t>
      </w:r>
    </w:p>
    <w:p w14:paraId="0AD095CD" w14:textId="77777777" w:rsidR="00C81BCF" w:rsidRPr="00C81BCF" w:rsidRDefault="00C81BCF" w:rsidP="00C81BCF">
      <w:pPr>
        <w:rPr>
          <w:sz w:val="20"/>
          <w:szCs w:val="20"/>
        </w:rPr>
      </w:pPr>
    </w:p>
    <w:p w14:paraId="384F10CB" w14:textId="0D0EDDF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Apotex</w:t>
      </w:r>
      <w:proofErr w:type="spellEnd"/>
      <w:r w:rsidRPr="006313E8">
        <w:rPr>
          <w:sz w:val="20"/>
          <w:szCs w:val="20"/>
          <w:lang w:val="en-US"/>
        </w:rPr>
        <w:t xml:space="preserve"> Inc.: </w:t>
      </w:r>
      <w:r w:rsidRPr="006313E8">
        <w:rPr>
          <w:b/>
          <w:bCs/>
          <w:sz w:val="20"/>
          <w:szCs w:val="20"/>
          <w:lang w:val="en-US"/>
        </w:rPr>
        <w:t>Health Canada Endorsed Physician Communication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 xml:space="preserve"> Toronto, Ontario: </w:t>
      </w:r>
      <w:proofErr w:type="spellStart"/>
      <w:r w:rsidRPr="006313E8">
        <w:rPr>
          <w:sz w:val="20"/>
          <w:szCs w:val="20"/>
          <w:lang w:val="en-US"/>
        </w:rPr>
        <w:t>Apotex</w:t>
      </w:r>
      <w:proofErr w:type="spellEnd"/>
      <w:r w:rsidRPr="006313E8">
        <w:rPr>
          <w:sz w:val="20"/>
          <w:szCs w:val="20"/>
          <w:lang w:val="en-US"/>
        </w:rPr>
        <w:t xml:space="preserve"> Inc.; 2016.</w:t>
      </w:r>
      <w:r w:rsidRPr="006313E8">
        <w:rPr>
          <w:sz w:val="20"/>
          <w:szCs w:val="20"/>
        </w:rPr>
        <w:t> </w:t>
      </w:r>
    </w:p>
    <w:p w14:paraId="0E66F021" w14:textId="77777777" w:rsidR="00C81BCF" w:rsidRPr="00C81BCF" w:rsidRDefault="00C81BCF" w:rsidP="00C81BCF">
      <w:pPr>
        <w:rPr>
          <w:sz w:val="20"/>
          <w:szCs w:val="20"/>
        </w:rPr>
      </w:pPr>
    </w:p>
    <w:p w14:paraId="4C440194" w14:textId="2E60C9BA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Canadian Diabetes Association Clinical Practice Guidelines Expert C, Imran SA, </w:t>
      </w:r>
      <w:proofErr w:type="spellStart"/>
      <w:r w:rsidRPr="006313E8">
        <w:rPr>
          <w:sz w:val="20"/>
          <w:szCs w:val="20"/>
          <w:lang w:val="en-US"/>
        </w:rPr>
        <w:t>Rabasa-Lhoret</w:t>
      </w:r>
      <w:proofErr w:type="spellEnd"/>
      <w:r w:rsidRPr="006313E8">
        <w:rPr>
          <w:sz w:val="20"/>
          <w:szCs w:val="20"/>
          <w:lang w:val="en-US"/>
        </w:rPr>
        <w:t xml:space="preserve"> R, Ross S: </w:t>
      </w:r>
      <w:r w:rsidRPr="006313E8">
        <w:rPr>
          <w:b/>
          <w:bCs/>
          <w:sz w:val="20"/>
          <w:szCs w:val="20"/>
          <w:lang w:val="en-US"/>
        </w:rPr>
        <w:t>Appendix 6: Therapeutic Considerations for Renal Impairment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Can J Diabetes </w:t>
      </w:r>
      <w:r w:rsidRPr="006313E8">
        <w:rPr>
          <w:sz w:val="20"/>
          <w:szCs w:val="20"/>
          <w:lang w:val="en-US"/>
        </w:rPr>
        <w:t>2013, </w:t>
      </w:r>
      <w:r w:rsidRPr="006313E8">
        <w:rPr>
          <w:b/>
          <w:bCs/>
          <w:sz w:val="20"/>
          <w:szCs w:val="20"/>
          <w:lang w:val="en-US"/>
        </w:rPr>
        <w:t>37 Suppl 1</w:t>
      </w:r>
      <w:r w:rsidRPr="006313E8">
        <w:rPr>
          <w:sz w:val="20"/>
          <w:szCs w:val="20"/>
          <w:lang w:val="en-US"/>
        </w:rPr>
        <w:t>:S207.</w:t>
      </w:r>
      <w:r w:rsidRPr="006313E8">
        <w:rPr>
          <w:sz w:val="20"/>
          <w:szCs w:val="20"/>
        </w:rPr>
        <w:t> </w:t>
      </w:r>
    </w:p>
    <w:p w14:paraId="5227C155" w14:textId="77777777" w:rsidR="00C81BCF" w:rsidRPr="00C81BCF" w:rsidRDefault="00C81BCF" w:rsidP="00C81BCF">
      <w:pPr>
        <w:rPr>
          <w:sz w:val="20"/>
          <w:szCs w:val="20"/>
        </w:rPr>
      </w:pPr>
    </w:p>
    <w:p w14:paraId="67FD6FB1" w14:textId="6C573CE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Apotex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Apo-Tolbutamide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Product Monograph.</w:t>
      </w:r>
      <w:r w:rsidRPr="006313E8">
        <w:rPr>
          <w:sz w:val="20"/>
          <w:szCs w:val="20"/>
          <w:lang w:val="en-US"/>
        </w:rPr>
        <w:t> Weston, ON; 2010.</w:t>
      </w:r>
      <w:r w:rsidRPr="006313E8">
        <w:rPr>
          <w:sz w:val="20"/>
          <w:szCs w:val="20"/>
        </w:rPr>
        <w:t> </w:t>
      </w:r>
    </w:p>
    <w:p w14:paraId="69C947FB" w14:textId="77777777" w:rsidR="00C81BCF" w:rsidRPr="00C81BCF" w:rsidRDefault="00C81BCF" w:rsidP="00C81BCF">
      <w:pPr>
        <w:rPr>
          <w:sz w:val="20"/>
          <w:szCs w:val="20"/>
        </w:rPr>
      </w:pPr>
    </w:p>
    <w:p w14:paraId="00B2CCD8" w14:textId="1241D04E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Sulfonylureas [</w:t>
      </w:r>
      <w:proofErr w:type="spellStart"/>
      <w:r w:rsidRPr="006313E8">
        <w:rPr>
          <w:b/>
          <w:bCs/>
          <w:sz w:val="20"/>
          <w:szCs w:val="20"/>
          <w:lang w:val="en-US"/>
        </w:rPr>
        <w:t>CPhA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monograph]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CPS.</w:t>
      </w:r>
      <w:r w:rsidRPr="006313E8">
        <w:rPr>
          <w:sz w:val="20"/>
          <w:szCs w:val="20"/>
          <w:lang w:val="en-US"/>
        </w:rPr>
        <w:t> Ottawa (ON): Canadian Pharmacists Association; 2015.</w:t>
      </w:r>
      <w:r w:rsidRPr="006313E8">
        <w:rPr>
          <w:sz w:val="20"/>
          <w:szCs w:val="20"/>
        </w:rPr>
        <w:t> </w:t>
      </w:r>
    </w:p>
    <w:p w14:paraId="01E0E9C7" w14:textId="77777777" w:rsidR="00C81BCF" w:rsidRPr="00C81BCF" w:rsidRDefault="00C81BCF" w:rsidP="00C81BCF">
      <w:pPr>
        <w:rPr>
          <w:sz w:val="20"/>
          <w:szCs w:val="20"/>
        </w:rPr>
      </w:pPr>
    </w:p>
    <w:p w14:paraId="66693164" w14:textId="6BC473F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Detailing PA: </w:t>
      </w:r>
      <w:r w:rsidRPr="006313E8">
        <w:rPr>
          <w:b/>
          <w:bCs/>
          <w:sz w:val="20"/>
          <w:szCs w:val="20"/>
          <w:lang w:val="en-US"/>
        </w:rPr>
        <w:t>Glucose Lowering Medications for Type 2 Diabetes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 BC Provincial Academic Detailing Service; Oct 2015.</w:t>
      </w:r>
      <w:r w:rsidRPr="006313E8">
        <w:rPr>
          <w:sz w:val="20"/>
          <w:szCs w:val="20"/>
        </w:rPr>
        <w:t> </w:t>
      </w:r>
    </w:p>
    <w:p w14:paraId="6AA0D2FE" w14:textId="77777777" w:rsidR="00C81BCF" w:rsidRPr="00C81BCF" w:rsidRDefault="00C81BCF" w:rsidP="00C81BCF">
      <w:pPr>
        <w:rPr>
          <w:sz w:val="20"/>
          <w:szCs w:val="20"/>
        </w:rPr>
      </w:pPr>
    </w:p>
    <w:p w14:paraId="6C98A8A3" w14:textId="2D077DC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Limited TC: </w:t>
      </w:r>
      <w:r w:rsidRPr="006313E8">
        <w:rPr>
          <w:b/>
          <w:bCs/>
          <w:sz w:val="20"/>
          <w:szCs w:val="20"/>
          <w:lang w:val="en-US"/>
        </w:rPr>
        <w:t>Ratio-Metformin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Toronto, ON: Teva Canada Limited; 2019.</w:t>
      </w:r>
      <w:r w:rsidRPr="006313E8">
        <w:rPr>
          <w:sz w:val="20"/>
          <w:szCs w:val="20"/>
        </w:rPr>
        <w:t> </w:t>
      </w:r>
    </w:p>
    <w:p w14:paraId="1371AB37" w14:textId="77777777" w:rsidR="00C81BCF" w:rsidRPr="00C81BCF" w:rsidRDefault="00C81BCF" w:rsidP="00C81BCF">
      <w:pPr>
        <w:rPr>
          <w:sz w:val="20"/>
          <w:szCs w:val="20"/>
        </w:rPr>
      </w:pPr>
    </w:p>
    <w:p w14:paraId="378A5C51" w14:textId="74FFB50C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BH: </w:t>
      </w:r>
      <w:proofErr w:type="spellStart"/>
      <w:r w:rsidRPr="006313E8">
        <w:rPr>
          <w:b/>
          <w:bCs/>
          <w:sz w:val="20"/>
          <w:szCs w:val="20"/>
          <w:lang w:val="en-US"/>
        </w:rPr>
        <w:t>Glumetza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(Metformin Hydrochloride Extended-Release Tablets)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Laval, QC: Bausch Health Canada Inc; 2020.</w:t>
      </w:r>
      <w:r w:rsidRPr="006313E8">
        <w:rPr>
          <w:sz w:val="20"/>
          <w:szCs w:val="20"/>
        </w:rPr>
        <w:t> </w:t>
      </w:r>
    </w:p>
    <w:p w14:paraId="10D181BA" w14:textId="77777777" w:rsidR="00C81BCF" w:rsidRPr="00C81BCF" w:rsidRDefault="00C81BCF" w:rsidP="00C81BCF">
      <w:pPr>
        <w:rPr>
          <w:sz w:val="20"/>
          <w:szCs w:val="20"/>
        </w:rPr>
      </w:pPr>
    </w:p>
    <w:p w14:paraId="520466DE" w14:textId="1ED7CF50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Bristol-</w:t>
      </w:r>
      <w:proofErr w:type="spellStart"/>
      <w:r w:rsidRPr="006313E8">
        <w:rPr>
          <w:sz w:val="20"/>
          <w:szCs w:val="20"/>
          <w:lang w:val="en-US"/>
        </w:rPr>
        <w:t>Myers_Squibb_USA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GLUCOPHAGE_(metformin)US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Princeton, NJ: Bristol-</w:t>
      </w:r>
      <w:proofErr w:type="spellStart"/>
      <w:r w:rsidRPr="006313E8">
        <w:rPr>
          <w:sz w:val="20"/>
          <w:szCs w:val="20"/>
          <w:lang w:val="en-US"/>
        </w:rPr>
        <w:t>Myers_Squibb_USA</w:t>
      </w:r>
      <w:proofErr w:type="spellEnd"/>
      <w:r w:rsidRPr="006313E8">
        <w:rPr>
          <w:sz w:val="20"/>
          <w:szCs w:val="20"/>
          <w:lang w:val="en-US"/>
        </w:rPr>
        <w:t>; 2018.</w:t>
      </w:r>
      <w:r w:rsidRPr="006313E8">
        <w:rPr>
          <w:sz w:val="20"/>
          <w:szCs w:val="20"/>
        </w:rPr>
        <w:t> </w:t>
      </w:r>
    </w:p>
    <w:p w14:paraId="5838E63C" w14:textId="77777777" w:rsidR="00C81BCF" w:rsidRPr="00C81BCF" w:rsidRDefault="00C81BCF" w:rsidP="00C81BCF">
      <w:pPr>
        <w:rPr>
          <w:sz w:val="20"/>
          <w:szCs w:val="20"/>
        </w:rPr>
      </w:pPr>
    </w:p>
    <w:p w14:paraId="0DEB2B84" w14:textId="0D146780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Pharmaceuticals S: </w:t>
      </w:r>
      <w:r w:rsidRPr="006313E8">
        <w:rPr>
          <w:b/>
          <w:bCs/>
          <w:sz w:val="20"/>
          <w:szCs w:val="20"/>
          <w:lang w:val="en-US"/>
        </w:rPr>
        <w:t>Metformin Hydrochloride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Hauppauge, NY: </w:t>
      </w:r>
      <w:proofErr w:type="spellStart"/>
      <w:r w:rsidRPr="006313E8">
        <w:rPr>
          <w:sz w:val="20"/>
          <w:szCs w:val="20"/>
          <w:lang w:val="en-US"/>
        </w:rPr>
        <w:t>ScieGen</w:t>
      </w:r>
      <w:proofErr w:type="spellEnd"/>
      <w:r w:rsidRPr="006313E8">
        <w:rPr>
          <w:sz w:val="20"/>
          <w:szCs w:val="20"/>
          <w:lang w:val="en-US"/>
        </w:rPr>
        <w:t xml:space="preserve"> Pharmaceuticals; 2021.</w:t>
      </w:r>
      <w:r w:rsidRPr="006313E8">
        <w:rPr>
          <w:sz w:val="20"/>
          <w:szCs w:val="20"/>
        </w:rPr>
        <w:t> </w:t>
      </w:r>
    </w:p>
    <w:p w14:paraId="62D35CC9" w14:textId="77777777" w:rsidR="00C81BCF" w:rsidRPr="00C81BCF" w:rsidRDefault="00C81BCF" w:rsidP="00C81BCF">
      <w:pPr>
        <w:rPr>
          <w:sz w:val="20"/>
          <w:szCs w:val="20"/>
        </w:rPr>
      </w:pPr>
    </w:p>
    <w:p w14:paraId="11F12AC4" w14:textId="686BD8EA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Canadian Diabetes Association Clinical Practice Guideline Expert C: </w:t>
      </w:r>
      <w:r w:rsidRPr="006313E8">
        <w:rPr>
          <w:b/>
          <w:bCs/>
          <w:sz w:val="20"/>
          <w:szCs w:val="20"/>
          <w:lang w:val="en-US"/>
        </w:rPr>
        <w:t xml:space="preserve">Appendix 5: </w:t>
      </w:r>
      <w:proofErr w:type="spellStart"/>
      <w:r w:rsidRPr="006313E8">
        <w:rPr>
          <w:b/>
          <w:bCs/>
          <w:sz w:val="20"/>
          <w:szCs w:val="20"/>
          <w:lang w:val="en-US"/>
        </w:rPr>
        <w:t>Approxiamte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cost reference list for antihyperglycemic agents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Canadian journal of diabetes </w:t>
      </w:r>
      <w:r w:rsidRPr="006313E8">
        <w:rPr>
          <w:sz w:val="20"/>
          <w:szCs w:val="20"/>
          <w:lang w:val="en-US"/>
        </w:rPr>
        <w:t>2016, </w:t>
      </w:r>
      <w:r w:rsidRPr="006313E8">
        <w:rPr>
          <w:b/>
          <w:bCs/>
          <w:sz w:val="20"/>
          <w:szCs w:val="20"/>
          <w:lang w:val="en-US"/>
        </w:rPr>
        <w:t>40</w:t>
      </w:r>
      <w:r w:rsidRPr="006313E8">
        <w:rPr>
          <w:sz w:val="20"/>
          <w:szCs w:val="20"/>
          <w:lang w:val="en-US"/>
        </w:rPr>
        <w:t>(6).</w:t>
      </w:r>
      <w:r w:rsidRPr="006313E8">
        <w:rPr>
          <w:sz w:val="20"/>
          <w:szCs w:val="20"/>
        </w:rPr>
        <w:t> </w:t>
      </w:r>
    </w:p>
    <w:p w14:paraId="0C6D8039" w14:textId="77777777" w:rsidR="00C81BCF" w:rsidRPr="00C81BCF" w:rsidRDefault="00C81BCF" w:rsidP="00C81BCF">
      <w:pPr>
        <w:rPr>
          <w:sz w:val="20"/>
          <w:szCs w:val="20"/>
        </w:rPr>
      </w:pPr>
    </w:p>
    <w:p w14:paraId="6C026370" w14:textId="3863A1F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Committee </w:t>
      </w:r>
      <w:proofErr w:type="spellStart"/>
      <w:r w:rsidRPr="006313E8">
        <w:rPr>
          <w:sz w:val="20"/>
          <w:szCs w:val="20"/>
          <w:lang w:val="en-US"/>
        </w:rPr>
        <w:t>GaPA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Diabetes Care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: Government of BC; 2010.</w:t>
      </w:r>
      <w:r w:rsidRPr="006313E8">
        <w:rPr>
          <w:sz w:val="20"/>
          <w:szCs w:val="20"/>
        </w:rPr>
        <w:t> </w:t>
      </w:r>
    </w:p>
    <w:p w14:paraId="61495D7D" w14:textId="77777777" w:rsidR="00C81BCF" w:rsidRPr="00C81BCF" w:rsidRDefault="00C81BCF" w:rsidP="00C81BCF">
      <w:pPr>
        <w:rPr>
          <w:sz w:val="20"/>
          <w:szCs w:val="20"/>
        </w:rPr>
      </w:pPr>
    </w:p>
    <w:p w14:paraId="32ADAF68" w14:textId="40D665A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Inzucchi</w:t>
      </w:r>
      <w:proofErr w:type="spellEnd"/>
      <w:r w:rsidRPr="006313E8">
        <w:rPr>
          <w:sz w:val="20"/>
          <w:szCs w:val="20"/>
          <w:lang w:val="en-US"/>
        </w:rPr>
        <w:t xml:space="preserve"> SE, </w:t>
      </w:r>
      <w:proofErr w:type="spellStart"/>
      <w:r w:rsidRPr="006313E8">
        <w:rPr>
          <w:sz w:val="20"/>
          <w:szCs w:val="20"/>
          <w:lang w:val="en-US"/>
        </w:rPr>
        <w:t>Lipska</w:t>
      </w:r>
      <w:proofErr w:type="spellEnd"/>
      <w:r w:rsidRPr="006313E8">
        <w:rPr>
          <w:sz w:val="20"/>
          <w:szCs w:val="20"/>
          <w:lang w:val="en-US"/>
        </w:rPr>
        <w:t xml:space="preserve"> KJ, Mayo H, Bailey CJ, McGuire DK: </w:t>
      </w:r>
      <w:r w:rsidRPr="006313E8">
        <w:rPr>
          <w:b/>
          <w:bCs/>
          <w:sz w:val="20"/>
          <w:szCs w:val="20"/>
          <w:lang w:val="en-US"/>
        </w:rPr>
        <w:t>Metformin in patients with type 2 diabetes and kidney disease: a systematic review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Jama </w:t>
      </w:r>
      <w:r w:rsidRPr="006313E8">
        <w:rPr>
          <w:sz w:val="20"/>
          <w:szCs w:val="20"/>
          <w:lang w:val="en-US"/>
        </w:rPr>
        <w:t>2014, </w:t>
      </w:r>
      <w:r w:rsidRPr="006313E8">
        <w:rPr>
          <w:b/>
          <w:bCs/>
          <w:sz w:val="20"/>
          <w:szCs w:val="20"/>
          <w:lang w:val="en-US"/>
        </w:rPr>
        <w:t>312</w:t>
      </w:r>
      <w:r w:rsidRPr="006313E8">
        <w:rPr>
          <w:sz w:val="20"/>
          <w:szCs w:val="20"/>
          <w:lang w:val="en-US"/>
        </w:rPr>
        <w:t>(24):2668-2675.</w:t>
      </w:r>
      <w:r w:rsidRPr="006313E8">
        <w:rPr>
          <w:sz w:val="20"/>
          <w:szCs w:val="20"/>
        </w:rPr>
        <w:t> </w:t>
      </w:r>
    </w:p>
    <w:p w14:paraId="7C05FD85" w14:textId="77777777" w:rsidR="00C81BCF" w:rsidRPr="00C81BCF" w:rsidRDefault="00C81BCF" w:rsidP="00C81BCF">
      <w:pPr>
        <w:rPr>
          <w:sz w:val="20"/>
          <w:szCs w:val="20"/>
        </w:rPr>
      </w:pPr>
    </w:p>
    <w:p w14:paraId="4C2EFC07" w14:textId="49DAC2D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BMJ: </w:t>
      </w:r>
      <w:r w:rsidRPr="006313E8">
        <w:rPr>
          <w:b/>
          <w:bCs/>
          <w:sz w:val="20"/>
          <w:szCs w:val="20"/>
          <w:lang w:val="en-US"/>
        </w:rPr>
        <w:t>Type 2 Diabetes in adults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BMJ Best Practice.</w:t>
      </w:r>
      <w:r w:rsidRPr="006313E8">
        <w:rPr>
          <w:sz w:val="20"/>
          <w:szCs w:val="20"/>
          <w:lang w:val="en-US"/>
        </w:rPr>
        <w:t> BMJ; 2017.</w:t>
      </w:r>
      <w:r w:rsidRPr="006313E8">
        <w:rPr>
          <w:sz w:val="20"/>
          <w:szCs w:val="20"/>
        </w:rPr>
        <w:t> </w:t>
      </w:r>
    </w:p>
    <w:p w14:paraId="6871C530" w14:textId="77777777" w:rsidR="00C81BCF" w:rsidRPr="00C81BCF" w:rsidRDefault="00C81BCF" w:rsidP="00C81BCF">
      <w:pPr>
        <w:rPr>
          <w:sz w:val="20"/>
          <w:szCs w:val="20"/>
        </w:rPr>
      </w:pPr>
    </w:p>
    <w:p w14:paraId="41876AD1" w14:textId="0ECD0CB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Lipska</w:t>
      </w:r>
      <w:proofErr w:type="spellEnd"/>
      <w:r w:rsidRPr="006313E8">
        <w:rPr>
          <w:sz w:val="20"/>
          <w:szCs w:val="20"/>
          <w:lang w:val="en-US"/>
        </w:rPr>
        <w:t xml:space="preserve"> KJ, Bailey CJ, </w:t>
      </w:r>
      <w:proofErr w:type="spellStart"/>
      <w:r w:rsidRPr="006313E8">
        <w:rPr>
          <w:sz w:val="20"/>
          <w:szCs w:val="20"/>
          <w:lang w:val="en-US"/>
        </w:rPr>
        <w:t>Inzucchi</w:t>
      </w:r>
      <w:proofErr w:type="spellEnd"/>
      <w:r w:rsidRPr="006313E8">
        <w:rPr>
          <w:sz w:val="20"/>
          <w:szCs w:val="20"/>
          <w:lang w:val="en-US"/>
        </w:rPr>
        <w:t xml:space="preserve"> SE: </w:t>
      </w:r>
      <w:r w:rsidRPr="006313E8">
        <w:rPr>
          <w:b/>
          <w:bCs/>
          <w:sz w:val="20"/>
          <w:szCs w:val="20"/>
          <w:lang w:val="en-US"/>
        </w:rPr>
        <w:t>Use of metformin in the setting of mild-to-moderate renal insufficiency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Diabetes care </w:t>
      </w:r>
      <w:r w:rsidRPr="006313E8">
        <w:rPr>
          <w:sz w:val="20"/>
          <w:szCs w:val="20"/>
          <w:lang w:val="en-US"/>
        </w:rPr>
        <w:t>2011, </w:t>
      </w:r>
      <w:r w:rsidRPr="006313E8">
        <w:rPr>
          <w:b/>
          <w:bCs/>
          <w:sz w:val="20"/>
          <w:szCs w:val="20"/>
          <w:lang w:val="en-US"/>
        </w:rPr>
        <w:t>34</w:t>
      </w:r>
      <w:r w:rsidRPr="006313E8">
        <w:rPr>
          <w:sz w:val="20"/>
          <w:szCs w:val="20"/>
          <w:lang w:val="en-US"/>
        </w:rPr>
        <w:t>(6):1431-1437.</w:t>
      </w:r>
      <w:r w:rsidRPr="006313E8">
        <w:rPr>
          <w:sz w:val="20"/>
          <w:szCs w:val="20"/>
        </w:rPr>
        <w:t> </w:t>
      </w:r>
    </w:p>
    <w:p w14:paraId="6B6D3D77" w14:textId="77777777" w:rsidR="00C81BCF" w:rsidRPr="00C81BCF" w:rsidRDefault="00C81BCF" w:rsidP="00C81BCF">
      <w:pPr>
        <w:rPr>
          <w:sz w:val="20"/>
          <w:szCs w:val="20"/>
        </w:rPr>
      </w:pPr>
    </w:p>
    <w:p w14:paraId="03199857" w14:textId="384A48E2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PL Detail-Document, Clinical Use of Metformin in Special Populations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: Pharmacist's Letter/Prescriber's Letter; 2015.</w:t>
      </w:r>
      <w:r w:rsidRPr="006313E8">
        <w:rPr>
          <w:sz w:val="20"/>
          <w:szCs w:val="20"/>
        </w:rPr>
        <w:t> </w:t>
      </w:r>
    </w:p>
    <w:p w14:paraId="14DAE8EF" w14:textId="77777777" w:rsidR="00C81BCF" w:rsidRPr="00C81BCF" w:rsidRDefault="00C81BCF" w:rsidP="00C81BCF">
      <w:pPr>
        <w:rPr>
          <w:sz w:val="20"/>
          <w:szCs w:val="20"/>
        </w:rPr>
      </w:pPr>
    </w:p>
    <w:p w14:paraId="07F5EEDE" w14:textId="54A45E8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Bodmer</w:t>
      </w:r>
      <w:proofErr w:type="spellEnd"/>
      <w:r w:rsidRPr="006313E8">
        <w:rPr>
          <w:sz w:val="20"/>
          <w:szCs w:val="20"/>
          <w:lang w:val="en-US"/>
        </w:rPr>
        <w:t xml:space="preserve"> M, Meier C, </w:t>
      </w:r>
      <w:proofErr w:type="spellStart"/>
      <w:r w:rsidRPr="006313E8">
        <w:rPr>
          <w:sz w:val="20"/>
          <w:szCs w:val="20"/>
          <w:lang w:val="en-US"/>
        </w:rPr>
        <w:t>Krähenbühl</w:t>
      </w:r>
      <w:proofErr w:type="spellEnd"/>
      <w:r w:rsidRPr="006313E8">
        <w:rPr>
          <w:sz w:val="20"/>
          <w:szCs w:val="20"/>
          <w:lang w:val="en-US"/>
        </w:rPr>
        <w:t xml:space="preserve"> S, </w:t>
      </w:r>
      <w:proofErr w:type="spellStart"/>
      <w:r w:rsidRPr="006313E8">
        <w:rPr>
          <w:sz w:val="20"/>
          <w:szCs w:val="20"/>
          <w:lang w:val="en-US"/>
        </w:rPr>
        <w:t>Jick</w:t>
      </w:r>
      <w:proofErr w:type="spellEnd"/>
      <w:r w:rsidRPr="006313E8">
        <w:rPr>
          <w:sz w:val="20"/>
          <w:szCs w:val="20"/>
          <w:lang w:val="en-US"/>
        </w:rPr>
        <w:t xml:space="preserve"> SS, Meier CR: </w:t>
      </w:r>
      <w:r w:rsidRPr="006313E8">
        <w:rPr>
          <w:b/>
          <w:bCs/>
          <w:sz w:val="20"/>
          <w:szCs w:val="20"/>
          <w:lang w:val="en-US"/>
        </w:rPr>
        <w:t xml:space="preserve">Metformin, Sulfonylureas, or Other </w:t>
      </w:r>
      <w:proofErr w:type="spellStart"/>
      <w:r w:rsidRPr="006313E8">
        <w:rPr>
          <w:b/>
          <w:bCs/>
          <w:sz w:val="20"/>
          <w:szCs w:val="20"/>
          <w:lang w:val="en-US"/>
        </w:rPr>
        <w:t>Antidiabetes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Drugs and the Risk of Lactic Acidosis or Hypoglycemia: A nested case-control analysis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Diabetes Care </w:t>
      </w:r>
      <w:r w:rsidRPr="006313E8">
        <w:rPr>
          <w:sz w:val="20"/>
          <w:szCs w:val="20"/>
          <w:lang w:val="en-US"/>
        </w:rPr>
        <w:t>2008, </w:t>
      </w:r>
      <w:r w:rsidRPr="006313E8">
        <w:rPr>
          <w:b/>
          <w:bCs/>
          <w:sz w:val="20"/>
          <w:szCs w:val="20"/>
          <w:lang w:val="en-US"/>
        </w:rPr>
        <w:t>31</w:t>
      </w:r>
      <w:r w:rsidRPr="006313E8">
        <w:rPr>
          <w:sz w:val="20"/>
          <w:szCs w:val="20"/>
          <w:lang w:val="en-US"/>
        </w:rPr>
        <w:t>(11):2086-2091.</w:t>
      </w:r>
      <w:r w:rsidRPr="006313E8">
        <w:rPr>
          <w:sz w:val="20"/>
          <w:szCs w:val="20"/>
        </w:rPr>
        <w:t> </w:t>
      </w:r>
    </w:p>
    <w:p w14:paraId="40CAEDB5" w14:textId="77777777" w:rsidR="00C81BCF" w:rsidRPr="00C81BCF" w:rsidRDefault="00C81BCF" w:rsidP="00C81BCF">
      <w:pPr>
        <w:rPr>
          <w:sz w:val="20"/>
          <w:szCs w:val="20"/>
        </w:rPr>
      </w:pPr>
    </w:p>
    <w:p w14:paraId="00D9630B" w14:textId="593850A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lastRenderedPageBreak/>
        <w:t xml:space="preserve">Choi JH, Yee SW, Ramirez AH, Morrissey KM, Jang GH, </w:t>
      </w:r>
      <w:proofErr w:type="spellStart"/>
      <w:r w:rsidRPr="006313E8">
        <w:rPr>
          <w:sz w:val="20"/>
          <w:szCs w:val="20"/>
          <w:lang w:val="en-US"/>
        </w:rPr>
        <w:t>Joski</w:t>
      </w:r>
      <w:proofErr w:type="spellEnd"/>
      <w:r w:rsidRPr="006313E8">
        <w:rPr>
          <w:sz w:val="20"/>
          <w:szCs w:val="20"/>
          <w:lang w:val="en-US"/>
        </w:rPr>
        <w:t xml:space="preserve"> PJ, </w:t>
      </w:r>
      <w:proofErr w:type="spellStart"/>
      <w:r w:rsidRPr="006313E8">
        <w:rPr>
          <w:sz w:val="20"/>
          <w:szCs w:val="20"/>
          <w:lang w:val="en-US"/>
        </w:rPr>
        <w:t>Mefford</w:t>
      </w:r>
      <w:proofErr w:type="spellEnd"/>
      <w:r w:rsidRPr="006313E8">
        <w:rPr>
          <w:sz w:val="20"/>
          <w:szCs w:val="20"/>
          <w:lang w:val="en-US"/>
        </w:rPr>
        <w:t xml:space="preserve"> JA, </w:t>
      </w:r>
      <w:proofErr w:type="spellStart"/>
      <w:r w:rsidRPr="006313E8">
        <w:rPr>
          <w:sz w:val="20"/>
          <w:szCs w:val="20"/>
          <w:lang w:val="en-US"/>
        </w:rPr>
        <w:t>Hesselson</w:t>
      </w:r>
      <w:proofErr w:type="spellEnd"/>
      <w:r w:rsidRPr="006313E8">
        <w:rPr>
          <w:sz w:val="20"/>
          <w:szCs w:val="20"/>
          <w:lang w:val="en-US"/>
        </w:rPr>
        <w:t xml:space="preserve"> SE, </w:t>
      </w:r>
      <w:proofErr w:type="spellStart"/>
      <w:r w:rsidRPr="006313E8">
        <w:rPr>
          <w:sz w:val="20"/>
          <w:szCs w:val="20"/>
          <w:lang w:val="en-US"/>
        </w:rPr>
        <w:t>Schlessinger</w:t>
      </w:r>
      <w:proofErr w:type="spellEnd"/>
      <w:r w:rsidRPr="006313E8">
        <w:rPr>
          <w:sz w:val="20"/>
          <w:szCs w:val="20"/>
          <w:lang w:val="en-US"/>
        </w:rPr>
        <w:t xml:space="preserve"> A, Jenkins G</w:t>
      </w:r>
      <w:r w:rsidRPr="006313E8">
        <w:rPr>
          <w:i/>
          <w:iCs/>
          <w:sz w:val="20"/>
          <w:szCs w:val="20"/>
          <w:lang w:val="en-US"/>
        </w:rPr>
        <w:t> et al</w:t>
      </w:r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A common 5'-UTR variant in MATE2-K is associated with poor response to metformin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Clinical pharmacology and therapeutics </w:t>
      </w:r>
      <w:r w:rsidRPr="006313E8">
        <w:rPr>
          <w:sz w:val="20"/>
          <w:szCs w:val="20"/>
          <w:lang w:val="en-US"/>
        </w:rPr>
        <w:t>2011, </w:t>
      </w:r>
      <w:r w:rsidRPr="006313E8">
        <w:rPr>
          <w:b/>
          <w:bCs/>
          <w:sz w:val="20"/>
          <w:szCs w:val="20"/>
          <w:lang w:val="en-US"/>
        </w:rPr>
        <w:t>90</w:t>
      </w:r>
      <w:r w:rsidRPr="006313E8">
        <w:rPr>
          <w:sz w:val="20"/>
          <w:szCs w:val="20"/>
          <w:lang w:val="en-US"/>
        </w:rPr>
        <w:t>(5):674-684.</w:t>
      </w:r>
      <w:r w:rsidRPr="006313E8">
        <w:rPr>
          <w:sz w:val="20"/>
          <w:szCs w:val="20"/>
        </w:rPr>
        <w:t> </w:t>
      </w:r>
    </w:p>
    <w:p w14:paraId="607B87C9" w14:textId="77777777" w:rsidR="00C81BCF" w:rsidRPr="00C81BCF" w:rsidRDefault="00C81BCF" w:rsidP="00C81BCF">
      <w:pPr>
        <w:rPr>
          <w:sz w:val="20"/>
          <w:szCs w:val="20"/>
        </w:rPr>
      </w:pPr>
    </w:p>
    <w:p w14:paraId="2EB93D6F" w14:textId="36D0E15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Stocker SL, Morrissey KM, Yee SW, Castro RA, Xu L, Dahlin A, Ramirez AH, </w:t>
      </w:r>
      <w:proofErr w:type="spellStart"/>
      <w:r w:rsidRPr="006313E8">
        <w:rPr>
          <w:sz w:val="20"/>
          <w:szCs w:val="20"/>
          <w:lang w:val="en-US"/>
        </w:rPr>
        <w:t>Roden</w:t>
      </w:r>
      <w:proofErr w:type="spellEnd"/>
      <w:r w:rsidRPr="006313E8">
        <w:rPr>
          <w:sz w:val="20"/>
          <w:szCs w:val="20"/>
          <w:lang w:val="en-US"/>
        </w:rPr>
        <w:t xml:space="preserve"> DM, Wilke RA, McCarty CA</w:t>
      </w:r>
      <w:r w:rsidRPr="006313E8">
        <w:rPr>
          <w:i/>
          <w:iCs/>
          <w:sz w:val="20"/>
          <w:szCs w:val="20"/>
          <w:lang w:val="en-US"/>
        </w:rPr>
        <w:t> et al</w:t>
      </w:r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The effect of novel promoter variants in MATE1 and MATE2 on the pharmacokinetics and pharmacodynamics of metformin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Clinical pharmacology and therapeutics </w:t>
      </w:r>
      <w:r w:rsidRPr="006313E8">
        <w:rPr>
          <w:sz w:val="20"/>
          <w:szCs w:val="20"/>
          <w:lang w:val="en-US"/>
        </w:rPr>
        <w:t>2013, </w:t>
      </w:r>
      <w:r w:rsidRPr="006313E8">
        <w:rPr>
          <w:b/>
          <w:bCs/>
          <w:sz w:val="20"/>
          <w:szCs w:val="20"/>
          <w:lang w:val="en-US"/>
        </w:rPr>
        <w:t>93</w:t>
      </w:r>
      <w:r w:rsidRPr="006313E8">
        <w:rPr>
          <w:sz w:val="20"/>
          <w:szCs w:val="20"/>
          <w:lang w:val="en-US"/>
        </w:rPr>
        <w:t>(2):186-194.</w:t>
      </w:r>
      <w:r w:rsidRPr="006313E8">
        <w:rPr>
          <w:sz w:val="20"/>
          <w:szCs w:val="20"/>
        </w:rPr>
        <w:t> </w:t>
      </w:r>
    </w:p>
    <w:p w14:paraId="0660A97C" w14:textId="77777777" w:rsidR="00C81BCF" w:rsidRPr="00C81BCF" w:rsidRDefault="00C81BCF" w:rsidP="00C81BCF">
      <w:pPr>
        <w:rPr>
          <w:sz w:val="20"/>
          <w:szCs w:val="20"/>
        </w:rPr>
      </w:pPr>
    </w:p>
    <w:p w14:paraId="1376887F" w14:textId="2E044B6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Eli Lilly Canada Inc: </w:t>
      </w:r>
      <w:r w:rsidRPr="006313E8">
        <w:rPr>
          <w:b/>
          <w:bCs/>
          <w:sz w:val="20"/>
          <w:szCs w:val="20"/>
          <w:lang w:val="en-US"/>
        </w:rPr>
        <w:t>TRULICITY (dulaglutide injection)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monograph.</w:t>
      </w:r>
      <w:r w:rsidRPr="006313E8">
        <w:rPr>
          <w:sz w:val="20"/>
          <w:szCs w:val="20"/>
          <w:lang w:val="en-US"/>
        </w:rPr>
        <w:t> Toronto, ON; 2020.</w:t>
      </w:r>
      <w:r w:rsidRPr="006313E8">
        <w:rPr>
          <w:sz w:val="20"/>
          <w:szCs w:val="20"/>
        </w:rPr>
        <w:t> </w:t>
      </w:r>
    </w:p>
    <w:p w14:paraId="75CE5688" w14:textId="77777777" w:rsidR="00C81BCF" w:rsidRPr="00C81BCF" w:rsidRDefault="00C81BCF" w:rsidP="00C81BCF">
      <w:pPr>
        <w:rPr>
          <w:sz w:val="20"/>
          <w:szCs w:val="20"/>
        </w:rPr>
      </w:pPr>
    </w:p>
    <w:p w14:paraId="455F3EEC" w14:textId="01008AE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Eli_Lilly_and_Company_US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TRULICITY (dulaglutide injection)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Indianapolis, IN: </w:t>
      </w:r>
      <w:proofErr w:type="spellStart"/>
      <w:r w:rsidRPr="006313E8">
        <w:rPr>
          <w:sz w:val="20"/>
          <w:szCs w:val="20"/>
          <w:lang w:val="en-US"/>
        </w:rPr>
        <w:t>Eli_Lilly_and_Company_US</w:t>
      </w:r>
      <w:proofErr w:type="spellEnd"/>
      <w:r w:rsidRPr="006313E8">
        <w:rPr>
          <w:sz w:val="20"/>
          <w:szCs w:val="20"/>
          <w:lang w:val="en-US"/>
        </w:rPr>
        <w:t>; 2020.</w:t>
      </w:r>
      <w:r w:rsidRPr="006313E8">
        <w:rPr>
          <w:sz w:val="20"/>
          <w:szCs w:val="20"/>
        </w:rPr>
        <w:t> </w:t>
      </w:r>
    </w:p>
    <w:p w14:paraId="0CDE6411" w14:textId="77777777" w:rsidR="00C81BCF" w:rsidRPr="00C81BCF" w:rsidRDefault="00C81BCF" w:rsidP="00C81BCF">
      <w:pPr>
        <w:rPr>
          <w:sz w:val="20"/>
          <w:szCs w:val="20"/>
        </w:rPr>
      </w:pPr>
    </w:p>
    <w:p w14:paraId="71FDD091" w14:textId="37651CD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AstraZeneca Canada Inc: </w:t>
      </w:r>
      <w:proofErr w:type="spellStart"/>
      <w:r w:rsidRPr="006313E8">
        <w:rPr>
          <w:b/>
          <w:bCs/>
          <w:sz w:val="20"/>
          <w:szCs w:val="20"/>
          <w:lang w:val="en-US"/>
        </w:rPr>
        <w:t>Byetta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(Exenatide injection)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Mississauga, ON: AstraZeneca Canada Inc; 2019.</w:t>
      </w:r>
      <w:r w:rsidRPr="006313E8">
        <w:rPr>
          <w:sz w:val="20"/>
          <w:szCs w:val="20"/>
        </w:rPr>
        <w:t> </w:t>
      </w:r>
    </w:p>
    <w:p w14:paraId="3D0F3D78" w14:textId="77777777" w:rsidR="00C81BCF" w:rsidRPr="00C81BCF" w:rsidRDefault="00C81BCF" w:rsidP="00C81BCF">
      <w:pPr>
        <w:rPr>
          <w:sz w:val="20"/>
          <w:szCs w:val="20"/>
        </w:rPr>
      </w:pPr>
    </w:p>
    <w:p w14:paraId="31373154" w14:textId="0019A95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A: </w:t>
      </w:r>
      <w:r w:rsidRPr="006313E8">
        <w:rPr>
          <w:b/>
          <w:bCs/>
          <w:sz w:val="20"/>
          <w:szCs w:val="20"/>
          <w:lang w:val="en-US"/>
        </w:rPr>
        <w:t>BYDUREON (Exenatide extended release injectable suspension)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 xml:space="preserve"> Mississauga, ON: </w:t>
      </w:r>
      <w:proofErr w:type="spellStart"/>
      <w:r w:rsidRPr="006313E8">
        <w:rPr>
          <w:sz w:val="20"/>
          <w:szCs w:val="20"/>
          <w:lang w:val="en-US"/>
        </w:rPr>
        <w:t>AstraZeneca_Pharmaceuticals_LP_US</w:t>
      </w:r>
      <w:proofErr w:type="spellEnd"/>
      <w:r w:rsidRPr="006313E8">
        <w:rPr>
          <w:sz w:val="20"/>
          <w:szCs w:val="20"/>
          <w:lang w:val="en-US"/>
        </w:rPr>
        <w:t>; 2019.</w:t>
      </w:r>
      <w:r w:rsidRPr="006313E8">
        <w:rPr>
          <w:sz w:val="20"/>
          <w:szCs w:val="20"/>
        </w:rPr>
        <w:t> </w:t>
      </w:r>
    </w:p>
    <w:p w14:paraId="7382BDA1" w14:textId="77777777" w:rsidR="00C81BCF" w:rsidRPr="00C81BCF" w:rsidRDefault="00C81BCF" w:rsidP="00C81BCF">
      <w:pPr>
        <w:rPr>
          <w:sz w:val="20"/>
          <w:szCs w:val="20"/>
        </w:rPr>
      </w:pPr>
    </w:p>
    <w:p w14:paraId="2D6C37A9" w14:textId="7329243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LP AP: </w:t>
      </w:r>
      <w:r w:rsidRPr="006313E8">
        <w:rPr>
          <w:b/>
          <w:bCs/>
          <w:sz w:val="20"/>
          <w:szCs w:val="20"/>
          <w:lang w:val="en-US"/>
        </w:rPr>
        <w:t>BYETTA-(</w:t>
      </w:r>
      <w:proofErr w:type="spellStart"/>
      <w:r w:rsidRPr="006313E8">
        <w:rPr>
          <w:b/>
          <w:bCs/>
          <w:sz w:val="20"/>
          <w:szCs w:val="20"/>
          <w:lang w:val="en-US"/>
        </w:rPr>
        <w:t>exenatide_injection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Wilmington, DE: AstraZeneca Pharmaceuticals LP; 2020.</w:t>
      </w:r>
      <w:r w:rsidRPr="006313E8">
        <w:rPr>
          <w:sz w:val="20"/>
          <w:szCs w:val="20"/>
        </w:rPr>
        <w:t> </w:t>
      </w:r>
    </w:p>
    <w:p w14:paraId="0C5E9B83" w14:textId="77777777" w:rsidR="00C81BCF" w:rsidRPr="00C81BCF" w:rsidRDefault="00C81BCF" w:rsidP="00C81BCF">
      <w:pPr>
        <w:rPr>
          <w:sz w:val="20"/>
          <w:szCs w:val="20"/>
        </w:rPr>
      </w:pPr>
    </w:p>
    <w:p w14:paraId="2BA02790" w14:textId="4DF5AE09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LP AP: </w:t>
      </w:r>
      <w:r w:rsidRPr="006313E8">
        <w:rPr>
          <w:b/>
          <w:bCs/>
          <w:sz w:val="20"/>
          <w:szCs w:val="20"/>
          <w:lang w:val="en-US"/>
        </w:rPr>
        <w:t>BYDUREON-(</w:t>
      </w:r>
      <w:proofErr w:type="spellStart"/>
      <w:r w:rsidRPr="006313E8">
        <w:rPr>
          <w:b/>
          <w:bCs/>
          <w:sz w:val="20"/>
          <w:szCs w:val="20"/>
          <w:lang w:val="en-US"/>
        </w:rPr>
        <w:t>exenatide_injection,suspension,extended_release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Wilmington, DE: AstraZeneca Pharmaceuticals LP; 2020.</w:t>
      </w:r>
      <w:r w:rsidRPr="006313E8">
        <w:rPr>
          <w:sz w:val="20"/>
          <w:szCs w:val="20"/>
        </w:rPr>
        <w:t> </w:t>
      </w:r>
    </w:p>
    <w:p w14:paraId="65226AAE" w14:textId="77777777" w:rsidR="00C81BCF" w:rsidRPr="00C81BCF" w:rsidRDefault="00C81BCF" w:rsidP="00C81BCF">
      <w:pPr>
        <w:rPr>
          <w:sz w:val="20"/>
          <w:szCs w:val="20"/>
        </w:rPr>
      </w:pPr>
    </w:p>
    <w:p w14:paraId="3A1A78A2" w14:textId="0E8DF3C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Guidelines B: </w:t>
      </w:r>
      <w:r w:rsidRPr="006313E8">
        <w:rPr>
          <w:b/>
          <w:bCs/>
          <w:sz w:val="20"/>
          <w:szCs w:val="20"/>
          <w:lang w:val="en-US"/>
        </w:rPr>
        <w:t>Diabetes Care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 BC: BC Guidelines; 2015.</w:t>
      </w:r>
      <w:r w:rsidRPr="006313E8">
        <w:rPr>
          <w:sz w:val="20"/>
          <w:szCs w:val="20"/>
        </w:rPr>
        <w:t> </w:t>
      </w:r>
    </w:p>
    <w:p w14:paraId="76CD3A35" w14:textId="77777777" w:rsidR="00C81BCF" w:rsidRPr="00C81BCF" w:rsidRDefault="00C81BCF" w:rsidP="00C81BCF">
      <w:pPr>
        <w:rPr>
          <w:sz w:val="20"/>
          <w:szCs w:val="20"/>
        </w:rPr>
      </w:pPr>
    </w:p>
    <w:p w14:paraId="2492B6F8" w14:textId="4DCD5AA2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KDOQI Clinical Practice Guideline for Diabetes and CKD: 2012 Update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American journal of kidney diseases : the official journal of the National Kidney Foundation </w:t>
      </w:r>
      <w:r w:rsidRPr="006313E8">
        <w:rPr>
          <w:sz w:val="20"/>
          <w:szCs w:val="20"/>
          <w:lang w:val="en-US"/>
        </w:rPr>
        <w:t>2012, </w:t>
      </w:r>
      <w:r w:rsidRPr="006313E8">
        <w:rPr>
          <w:b/>
          <w:bCs/>
          <w:sz w:val="20"/>
          <w:szCs w:val="20"/>
          <w:lang w:val="en-US"/>
        </w:rPr>
        <w:t>60</w:t>
      </w:r>
      <w:r w:rsidRPr="006313E8">
        <w:rPr>
          <w:sz w:val="20"/>
          <w:szCs w:val="20"/>
          <w:lang w:val="en-US"/>
        </w:rPr>
        <w:t>(5):850-886.</w:t>
      </w:r>
      <w:r w:rsidRPr="006313E8">
        <w:rPr>
          <w:sz w:val="20"/>
          <w:szCs w:val="20"/>
        </w:rPr>
        <w:t> </w:t>
      </w:r>
    </w:p>
    <w:p w14:paraId="5A1ADB28" w14:textId="77777777" w:rsidR="00C81BCF" w:rsidRPr="00C81BCF" w:rsidRDefault="00C81BCF" w:rsidP="00C81BCF">
      <w:pPr>
        <w:rPr>
          <w:sz w:val="20"/>
          <w:szCs w:val="20"/>
        </w:rPr>
      </w:pPr>
    </w:p>
    <w:p w14:paraId="2B8212F3" w14:textId="11EE05AF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NN: </w:t>
      </w:r>
      <w:proofErr w:type="spellStart"/>
      <w:r w:rsidRPr="006313E8">
        <w:rPr>
          <w:b/>
          <w:bCs/>
          <w:sz w:val="20"/>
          <w:szCs w:val="20"/>
          <w:lang w:val="en-US"/>
        </w:rPr>
        <w:t>Saxenda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(Liraglutide injection)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Mississauga, ON: Novo Nordisk Canada; 2021.</w:t>
      </w:r>
      <w:r w:rsidRPr="006313E8">
        <w:rPr>
          <w:sz w:val="20"/>
          <w:szCs w:val="20"/>
        </w:rPr>
        <w:t> </w:t>
      </w:r>
    </w:p>
    <w:p w14:paraId="735CC816" w14:textId="77777777" w:rsidR="00C81BCF" w:rsidRPr="00C81BCF" w:rsidRDefault="00C81BCF" w:rsidP="00C81BCF">
      <w:pPr>
        <w:rPr>
          <w:sz w:val="20"/>
          <w:szCs w:val="20"/>
        </w:rPr>
      </w:pPr>
    </w:p>
    <w:p w14:paraId="381DB95D" w14:textId="00CB402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NN: </w:t>
      </w:r>
      <w:r w:rsidRPr="006313E8">
        <w:rPr>
          <w:b/>
          <w:bCs/>
          <w:sz w:val="20"/>
          <w:szCs w:val="20"/>
          <w:lang w:val="en-US"/>
        </w:rPr>
        <w:t>Victoza (Liraglutide injection)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Mississauga, ON: Novo Nordisk Canada; 2020.</w:t>
      </w:r>
      <w:r w:rsidRPr="006313E8">
        <w:rPr>
          <w:sz w:val="20"/>
          <w:szCs w:val="20"/>
        </w:rPr>
        <w:t> </w:t>
      </w:r>
    </w:p>
    <w:p w14:paraId="10683F62" w14:textId="77777777" w:rsidR="00C81BCF" w:rsidRPr="00C81BCF" w:rsidRDefault="00C81BCF" w:rsidP="00C81BCF">
      <w:pPr>
        <w:rPr>
          <w:sz w:val="20"/>
          <w:szCs w:val="20"/>
        </w:rPr>
      </w:pPr>
    </w:p>
    <w:p w14:paraId="675CEA64" w14:textId="457C5C2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Nordisk N: </w:t>
      </w:r>
      <w:proofErr w:type="spellStart"/>
      <w:r w:rsidRPr="006313E8">
        <w:rPr>
          <w:b/>
          <w:bCs/>
          <w:sz w:val="20"/>
          <w:szCs w:val="20"/>
          <w:lang w:val="en-US"/>
        </w:rPr>
        <w:t>Saxenda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(Liraglutide injection)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Plainsboro, NJ: Novo Nordisk; 2020.</w:t>
      </w:r>
      <w:r w:rsidRPr="006313E8">
        <w:rPr>
          <w:sz w:val="20"/>
          <w:szCs w:val="20"/>
        </w:rPr>
        <w:t> </w:t>
      </w:r>
    </w:p>
    <w:p w14:paraId="4EE84B7D" w14:textId="77777777" w:rsidR="00C81BCF" w:rsidRPr="00C81BCF" w:rsidRDefault="00C81BCF" w:rsidP="00C81BCF">
      <w:pPr>
        <w:rPr>
          <w:sz w:val="20"/>
          <w:szCs w:val="20"/>
        </w:rPr>
      </w:pPr>
    </w:p>
    <w:p w14:paraId="7298F4B6" w14:textId="3AAE325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Novo_Nordisk_US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VICTOZA-(</w:t>
      </w:r>
      <w:proofErr w:type="spellStart"/>
      <w:r w:rsidRPr="006313E8">
        <w:rPr>
          <w:b/>
          <w:bCs/>
          <w:sz w:val="20"/>
          <w:szCs w:val="20"/>
          <w:lang w:val="en-US"/>
        </w:rPr>
        <w:t>liraglutide_injection</w:t>
      </w:r>
      <w:proofErr w:type="spellEnd"/>
      <w:r w:rsidRPr="006313E8">
        <w:rPr>
          <w:b/>
          <w:bCs/>
          <w:sz w:val="20"/>
          <w:szCs w:val="20"/>
          <w:lang w:val="en-US"/>
        </w:rPr>
        <w:t>)US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Wilmington, DE: </w:t>
      </w:r>
      <w:proofErr w:type="spellStart"/>
      <w:r w:rsidRPr="006313E8">
        <w:rPr>
          <w:sz w:val="20"/>
          <w:szCs w:val="20"/>
          <w:lang w:val="en-US"/>
        </w:rPr>
        <w:t>Novo_Nordisk_US</w:t>
      </w:r>
      <w:proofErr w:type="spellEnd"/>
      <w:r w:rsidRPr="006313E8">
        <w:rPr>
          <w:sz w:val="20"/>
          <w:szCs w:val="20"/>
          <w:lang w:val="en-US"/>
        </w:rPr>
        <w:t>; 2018.</w:t>
      </w:r>
      <w:r w:rsidRPr="006313E8">
        <w:rPr>
          <w:sz w:val="20"/>
          <w:szCs w:val="20"/>
        </w:rPr>
        <w:t> </w:t>
      </w:r>
    </w:p>
    <w:p w14:paraId="47CEED54" w14:textId="77777777" w:rsidR="00C81BCF" w:rsidRPr="00C81BCF" w:rsidRDefault="00C81BCF" w:rsidP="00C81BCF">
      <w:pPr>
        <w:rPr>
          <w:sz w:val="20"/>
          <w:szCs w:val="20"/>
        </w:rPr>
      </w:pPr>
    </w:p>
    <w:p w14:paraId="70F0EA04" w14:textId="0202D28F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S-A: </w:t>
      </w:r>
      <w:proofErr w:type="spellStart"/>
      <w:r w:rsidRPr="006313E8">
        <w:rPr>
          <w:b/>
          <w:bCs/>
          <w:sz w:val="20"/>
          <w:szCs w:val="20"/>
          <w:lang w:val="en-US"/>
        </w:rPr>
        <w:t>Adlyxine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</w:t>
      </w:r>
      <w:proofErr w:type="spellStart"/>
      <w:r w:rsidRPr="006313E8">
        <w:rPr>
          <w:b/>
          <w:bCs/>
          <w:sz w:val="20"/>
          <w:szCs w:val="20"/>
          <w:lang w:val="en-US"/>
        </w:rPr>
        <w:t>Lixisenatide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Laval, QC: Sanofi-Aventis Canada; 2020.</w:t>
      </w:r>
      <w:r w:rsidRPr="006313E8">
        <w:rPr>
          <w:sz w:val="20"/>
          <w:szCs w:val="20"/>
        </w:rPr>
        <w:t> </w:t>
      </w:r>
    </w:p>
    <w:p w14:paraId="41546249" w14:textId="77777777" w:rsidR="00C81BCF" w:rsidRPr="00C81BCF" w:rsidRDefault="00C81BCF" w:rsidP="00C81BCF">
      <w:pPr>
        <w:rPr>
          <w:sz w:val="20"/>
          <w:szCs w:val="20"/>
        </w:rPr>
      </w:pPr>
    </w:p>
    <w:p w14:paraId="654E9E0D" w14:textId="2D4C3A52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US S-A: </w:t>
      </w:r>
      <w:proofErr w:type="spellStart"/>
      <w:r w:rsidRPr="006313E8">
        <w:rPr>
          <w:b/>
          <w:bCs/>
          <w:sz w:val="20"/>
          <w:szCs w:val="20"/>
          <w:lang w:val="en-US"/>
        </w:rPr>
        <w:t>Adlyxine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</w:t>
      </w:r>
      <w:proofErr w:type="spellStart"/>
      <w:r w:rsidRPr="006313E8">
        <w:rPr>
          <w:b/>
          <w:bCs/>
          <w:sz w:val="20"/>
          <w:szCs w:val="20"/>
          <w:lang w:val="en-US"/>
        </w:rPr>
        <w:t>Lixisenatide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Bridgewater, NJ: Sanofi-Aventis US; 2021.</w:t>
      </w:r>
      <w:r w:rsidRPr="006313E8">
        <w:rPr>
          <w:sz w:val="20"/>
          <w:szCs w:val="20"/>
        </w:rPr>
        <w:t> </w:t>
      </w:r>
    </w:p>
    <w:p w14:paraId="60662CEF" w14:textId="77777777" w:rsidR="00C81BCF" w:rsidRPr="00C81BCF" w:rsidRDefault="00C81BCF" w:rsidP="00C81BCF">
      <w:pPr>
        <w:rPr>
          <w:sz w:val="20"/>
          <w:szCs w:val="20"/>
        </w:rPr>
      </w:pPr>
    </w:p>
    <w:p w14:paraId="141249A5" w14:textId="2311F50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Novo_Nordisk_Canada</w:t>
      </w:r>
      <w:proofErr w:type="spellEnd"/>
      <w:r w:rsidRPr="006313E8">
        <w:rPr>
          <w:sz w:val="20"/>
          <w:szCs w:val="20"/>
          <w:lang w:val="en-US"/>
        </w:rPr>
        <w:t>: </w:t>
      </w:r>
      <w:proofErr w:type="spellStart"/>
      <w:r w:rsidRPr="006313E8">
        <w:rPr>
          <w:b/>
          <w:bCs/>
          <w:sz w:val="20"/>
          <w:szCs w:val="20"/>
          <w:lang w:val="en-US"/>
        </w:rPr>
        <w:t>Rybelsus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</w:t>
      </w:r>
      <w:proofErr w:type="spellStart"/>
      <w:r w:rsidRPr="006313E8">
        <w:rPr>
          <w:b/>
          <w:bCs/>
          <w:sz w:val="20"/>
          <w:szCs w:val="20"/>
          <w:lang w:val="en-US"/>
        </w:rPr>
        <w:t>Semaglutide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tablets)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2020.</w:t>
      </w:r>
      <w:r w:rsidRPr="006313E8">
        <w:rPr>
          <w:sz w:val="20"/>
          <w:szCs w:val="20"/>
        </w:rPr>
        <w:t> </w:t>
      </w:r>
    </w:p>
    <w:p w14:paraId="02F15F2B" w14:textId="77777777" w:rsidR="00C81BCF" w:rsidRPr="00C81BCF" w:rsidRDefault="00C81BCF" w:rsidP="00C81BCF">
      <w:pPr>
        <w:rPr>
          <w:sz w:val="20"/>
          <w:szCs w:val="20"/>
        </w:rPr>
      </w:pPr>
    </w:p>
    <w:p w14:paraId="1C9FE828" w14:textId="17CE15A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Novo_Nordisk_Canada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Ozempic (</w:t>
      </w:r>
      <w:proofErr w:type="spellStart"/>
      <w:r w:rsidRPr="006313E8">
        <w:rPr>
          <w:b/>
          <w:bCs/>
          <w:sz w:val="20"/>
          <w:szCs w:val="20"/>
          <w:lang w:val="en-US"/>
        </w:rPr>
        <w:t>Semaglutide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Health Canada Monograph.</w:t>
      </w:r>
      <w:r w:rsidRPr="006313E8">
        <w:rPr>
          <w:sz w:val="20"/>
          <w:szCs w:val="20"/>
          <w:lang w:val="en-US"/>
        </w:rPr>
        <w:t> 2018.</w:t>
      </w:r>
      <w:r w:rsidRPr="006313E8">
        <w:rPr>
          <w:sz w:val="20"/>
          <w:szCs w:val="20"/>
        </w:rPr>
        <w:t> </w:t>
      </w:r>
    </w:p>
    <w:p w14:paraId="58220AED" w14:textId="77777777" w:rsidR="00C81BCF" w:rsidRPr="00C81BCF" w:rsidRDefault="00C81BCF" w:rsidP="00C81BCF">
      <w:pPr>
        <w:rPr>
          <w:sz w:val="20"/>
          <w:szCs w:val="20"/>
        </w:rPr>
      </w:pPr>
    </w:p>
    <w:p w14:paraId="3D99F643" w14:textId="5B7C9B1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lastRenderedPageBreak/>
        <w:t>Nordisk N: </w:t>
      </w:r>
      <w:proofErr w:type="spellStart"/>
      <w:r w:rsidRPr="006313E8">
        <w:rPr>
          <w:b/>
          <w:bCs/>
          <w:sz w:val="20"/>
          <w:szCs w:val="20"/>
          <w:lang w:val="en-US"/>
        </w:rPr>
        <w:t>Rybelsus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</w:t>
      </w:r>
      <w:proofErr w:type="spellStart"/>
      <w:r w:rsidRPr="006313E8">
        <w:rPr>
          <w:b/>
          <w:bCs/>
          <w:sz w:val="20"/>
          <w:szCs w:val="20"/>
          <w:lang w:val="en-US"/>
        </w:rPr>
        <w:t>Semaglutide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tablets)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US Product Monograph.</w:t>
      </w:r>
      <w:r w:rsidRPr="006313E8">
        <w:rPr>
          <w:sz w:val="20"/>
          <w:szCs w:val="20"/>
          <w:lang w:val="en-US"/>
        </w:rPr>
        <w:t> 2020.</w:t>
      </w:r>
      <w:r w:rsidRPr="006313E8">
        <w:rPr>
          <w:sz w:val="20"/>
          <w:szCs w:val="20"/>
        </w:rPr>
        <w:t> </w:t>
      </w:r>
    </w:p>
    <w:p w14:paraId="5656ACF4" w14:textId="77777777" w:rsidR="00C81BCF" w:rsidRPr="00C81BCF" w:rsidRDefault="00C81BCF" w:rsidP="00C81BCF">
      <w:pPr>
        <w:rPr>
          <w:sz w:val="20"/>
          <w:szCs w:val="20"/>
        </w:rPr>
      </w:pPr>
    </w:p>
    <w:p w14:paraId="568936DD" w14:textId="3D7B9D6C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Novo_Nordisk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Ozempic (</w:t>
      </w:r>
      <w:proofErr w:type="spellStart"/>
      <w:r w:rsidRPr="006313E8">
        <w:rPr>
          <w:b/>
          <w:bCs/>
          <w:sz w:val="20"/>
          <w:szCs w:val="20"/>
          <w:lang w:val="en-US"/>
        </w:rPr>
        <w:t>Semaglutide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US Product Monograph.</w:t>
      </w:r>
      <w:r w:rsidRPr="006313E8">
        <w:rPr>
          <w:sz w:val="20"/>
          <w:szCs w:val="20"/>
          <w:lang w:val="en-US"/>
        </w:rPr>
        <w:t> 2021.</w:t>
      </w:r>
      <w:r w:rsidRPr="006313E8">
        <w:rPr>
          <w:sz w:val="20"/>
          <w:szCs w:val="20"/>
        </w:rPr>
        <w:t> </w:t>
      </w:r>
    </w:p>
    <w:p w14:paraId="4A52FA8C" w14:textId="77777777" w:rsidR="00C81BCF" w:rsidRPr="00C81BCF" w:rsidRDefault="00C81BCF" w:rsidP="00C81BCF">
      <w:pPr>
        <w:rPr>
          <w:sz w:val="20"/>
          <w:szCs w:val="20"/>
        </w:rPr>
      </w:pPr>
    </w:p>
    <w:p w14:paraId="690AA3E9" w14:textId="696764E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Novo_Nordisk_US</w:t>
      </w:r>
      <w:proofErr w:type="spellEnd"/>
      <w:r w:rsidRPr="006313E8">
        <w:rPr>
          <w:sz w:val="20"/>
          <w:szCs w:val="20"/>
          <w:lang w:val="en-US"/>
        </w:rPr>
        <w:t>: </w:t>
      </w:r>
      <w:proofErr w:type="spellStart"/>
      <w:r w:rsidRPr="006313E8">
        <w:rPr>
          <w:b/>
          <w:bCs/>
          <w:sz w:val="20"/>
          <w:szCs w:val="20"/>
          <w:lang w:val="en-US"/>
        </w:rPr>
        <w:t>Semaglutide</w:t>
      </w:r>
      <w:proofErr w:type="spellEnd"/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Dec2017 </w:t>
      </w:r>
      <w:proofErr w:type="spellStart"/>
      <w:r w:rsidRPr="006313E8">
        <w:rPr>
          <w:sz w:val="20"/>
          <w:szCs w:val="20"/>
          <w:lang w:val="en-US"/>
        </w:rPr>
        <w:t>edn</w:t>
      </w:r>
      <w:proofErr w:type="spellEnd"/>
      <w:r w:rsidRPr="006313E8">
        <w:rPr>
          <w:sz w:val="20"/>
          <w:szCs w:val="20"/>
          <w:lang w:val="en-US"/>
        </w:rPr>
        <w:t>; 2017.</w:t>
      </w:r>
      <w:r w:rsidRPr="006313E8">
        <w:rPr>
          <w:sz w:val="20"/>
          <w:szCs w:val="20"/>
        </w:rPr>
        <w:t> </w:t>
      </w:r>
    </w:p>
    <w:p w14:paraId="3E965B37" w14:textId="77777777" w:rsidR="00C81BCF" w:rsidRPr="00C81BCF" w:rsidRDefault="00C81BCF" w:rsidP="00C81BCF">
      <w:pPr>
        <w:rPr>
          <w:sz w:val="20"/>
          <w:szCs w:val="20"/>
        </w:rPr>
      </w:pPr>
    </w:p>
    <w:p w14:paraId="583F0380" w14:textId="6FB8F74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Janssen_Pharmaceuticals_Inc_CA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Canagliflozin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2020.</w:t>
      </w:r>
      <w:r w:rsidRPr="006313E8">
        <w:rPr>
          <w:sz w:val="20"/>
          <w:szCs w:val="20"/>
        </w:rPr>
        <w:t> </w:t>
      </w:r>
    </w:p>
    <w:p w14:paraId="25F38476" w14:textId="77777777" w:rsidR="00C81BCF" w:rsidRPr="00C81BCF" w:rsidRDefault="00C81BCF" w:rsidP="00C81BCF">
      <w:pPr>
        <w:rPr>
          <w:sz w:val="20"/>
          <w:szCs w:val="20"/>
        </w:rPr>
      </w:pPr>
    </w:p>
    <w:p w14:paraId="047627E3" w14:textId="23E6E5C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Janssen_Pharmaceuticals_Inc_US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Canagliflozin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US Product monograph.</w:t>
      </w:r>
      <w:r w:rsidRPr="006313E8">
        <w:rPr>
          <w:sz w:val="20"/>
          <w:szCs w:val="20"/>
          <w:lang w:val="en-US"/>
        </w:rPr>
        <w:t> 2020.</w:t>
      </w:r>
      <w:r w:rsidRPr="006313E8">
        <w:rPr>
          <w:sz w:val="20"/>
          <w:szCs w:val="20"/>
        </w:rPr>
        <w:t> </w:t>
      </w:r>
    </w:p>
    <w:p w14:paraId="6C09743B" w14:textId="77777777" w:rsidR="00C81BCF" w:rsidRPr="00C81BCF" w:rsidRDefault="00C81BCF" w:rsidP="00C81BCF">
      <w:pPr>
        <w:rPr>
          <w:sz w:val="20"/>
          <w:szCs w:val="20"/>
        </w:rPr>
      </w:pPr>
    </w:p>
    <w:p w14:paraId="43E4CF89" w14:textId="5917BBC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Glucose Lowering Medications for Type 2 Diabetes </w:t>
      </w:r>
      <w:r w:rsidRPr="006313E8">
        <w:rPr>
          <w:sz w:val="20"/>
          <w:szCs w:val="20"/>
          <w:lang w:val="en-US"/>
        </w:rPr>
        <w:t>[</w:t>
      </w:r>
      <w:hyperlink r:id="rId7" w:tgtFrame="_blank" w:history="1">
        <w:r w:rsidRPr="006313E8">
          <w:rPr>
            <w:rStyle w:val="Hyperlink"/>
            <w:sz w:val="20"/>
            <w:szCs w:val="20"/>
            <w:lang w:val="en-US"/>
          </w:rPr>
          <w:t>http://www2.gov.bc.ca/assets/gov/health/practitioner-pro/provincial-academic-detailing-service/pad_glucose_lowering_medications_booklet.pdf</w:t>
        </w:r>
      </w:hyperlink>
      <w:r w:rsidRPr="006313E8">
        <w:rPr>
          <w:sz w:val="20"/>
          <w:szCs w:val="20"/>
          <w:lang w:val="en-US"/>
        </w:rPr>
        <w:t>]</w:t>
      </w:r>
      <w:r w:rsidRPr="006313E8">
        <w:rPr>
          <w:sz w:val="20"/>
          <w:szCs w:val="20"/>
        </w:rPr>
        <w:t> </w:t>
      </w:r>
    </w:p>
    <w:p w14:paraId="7E8BBA00" w14:textId="77777777" w:rsidR="00C81BCF" w:rsidRPr="00C81BCF" w:rsidRDefault="00C81BCF" w:rsidP="00C81BCF">
      <w:pPr>
        <w:rPr>
          <w:sz w:val="20"/>
          <w:szCs w:val="20"/>
        </w:rPr>
      </w:pPr>
    </w:p>
    <w:p w14:paraId="3BFA8AB8" w14:textId="222B552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Invokana [product monograph]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CPS.</w:t>
      </w:r>
      <w:r w:rsidRPr="006313E8">
        <w:rPr>
          <w:sz w:val="20"/>
          <w:szCs w:val="20"/>
          <w:lang w:val="en-US"/>
        </w:rPr>
        <w:t> Ottawa (ON): Canadian Pharmacists Association; 2017.</w:t>
      </w:r>
      <w:r w:rsidRPr="006313E8">
        <w:rPr>
          <w:sz w:val="20"/>
          <w:szCs w:val="20"/>
        </w:rPr>
        <w:t> </w:t>
      </w:r>
    </w:p>
    <w:p w14:paraId="736DDF2D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15A8876B" w14:textId="0C0D74C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Janssen_Pharmaceuticals_Inc_US: </w:t>
      </w:r>
      <w:r w:rsidRPr="006313E8">
        <w:rPr>
          <w:b/>
          <w:bCs/>
          <w:sz w:val="20"/>
          <w:szCs w:val="20"/>
          <w:lang w:val="en-US"/>
        </w:rPr>
        <w:t>INVOKANA-(canagliflozin_tablet,film_coated)US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Titusville, NJ: </w:t>
      </w:r>
      <w:proofErr w:type="spellStart"/>
      <w:r w:rsidRPr="006313E8">
        <w:rPr>
          <w:sz w:val="20"/>
          <w:szCs w:val="20"/>
          <w:lang w:val="en-US"/>
        </w:rPr>
        <w:t>Janssen_Pharmaceuticals_Inc_US</w:t>
      </w:r>
      <w:proofErr w:type="spellEnd"/>
      <w:r w:rsidRPr="006313E8">
        <w:rPr>
          <w:sz w:val="20"/>
          <w:szCs w:val="20"/>
          <w:lang w:val="en-US"/>
        </w:rPr>
        <w:t>; 2018.</w:t>
      </w:r>
      <w:r w:rsidRPr="006313E8">
        <w:rPr>
          <w:sz w:val="20"/>
          <w:szCs w:val="20"/>
        </w:rPr>
        <w:t> </w:t>
      </w:r>
    </w:p>
    <w:p w14:paraId="7B450705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D5FCDCA" w14:textId="45AC132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Canadian Diabetes Association Clinical Practice Guidelines Expert C: </w:t>
      </w:r>
      <w:r w:rsidRPr="006313E8">
        <w:rPr>
          <w:b/>
          <w:bCs/>
          <w:sz w:val="20"/>
          <w:szCs w:val="20"/>
          <w:lang w:val="en-US"/>
        </w:rPr>
        <w:t>Appendix 6: Therapeutic Considerations for Renal Impairment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Can J Diabetes </w:t>
      </w:r>
      <w:r w:rsidRPr="006313E8">
        <w:rPr>
          <w:sz w:val="20"/>
          <w:szCs w:val="20"/>
          <w:lang w:val="en-US"/>
        </w:rPr>
        <w:t>2015.</w:t>
      </w:r>
      <w:r w:rsidRPr="006313E8">
        <w:rPr>
          <w:sz w:val="20"/>
          <w:szCs w:val="20"/>
        </w:rPr>
        <w:t> </w:t>
      </w:r>
    </w:p>
    <w:p w14:paraId="756703E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5F66A7E1" w14:textId="0F46ED0C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Abe M, </w:t>
      </w:r>
      <w:proofErr w:type="spellStart"/>
      <w:r w:rsidRPr="006313E8">
        <w:rPr>
          <w:sz w:val="20"/>
          <w:szCs w:val="20"/>
          <w:lang w:val="en-US"/>
        </w:rPr>
        <w:t>Kalantar</w:t>
      </w:r>
      <w:proofErr w:type="spellEnd"/>
      <w:r w:rsidRPr="006313E8">
        <w:rPr>
          <w:sz w:val="20"/>
          <w:szCs w:val="20"/>
          <w:lang w:val="en-US"/>
        </w:rPr>
        <w:t>-Zadeh K: </w:t>
      </w:r>
      <w:proofErr w:type="spellStart"/>
      <w:r w:rsidRPr="006313E8">
        <w:rPr>
          <w:b/>
          <w:bCs/>
          <w:sz w:val="20"/>
          <w:szCs w:val="20"/>
          <w:lang w:val="en-US"/>
        </w:rPr>
        <w:t>Haemodialysis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-induced </w:t>
      </w:r>
      <w:proofErr w:type="spellStart"/>
      <w:r w:rsidRPr="006313E8">
        <w:rPr>
          <w:b/>
          <w:bCs/>
          <w:sz w:val="20"/>
          <w:szCs w:val="20"/>
          <w:lang w:val="en-US"/>
        </w:rPr>
        <w:t>hypoglycaemia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and </w:t>
      </w:r>
      <w:proofErr w:type="spellStart"/>
      <w:r w:rsidRPr="006313E8">
        <w:rPr>
          <w:b/>
          <w:bCs/>
          <w:sz w:val="20"/>
          <w:szCs w:val="20"/>
          <w:lang w:val="en-US"/>
        </w:rPr>
        <w:t>glycaemic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disarrays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Nature Reviews Nephrology </w:t>
      </w:r>
      <w:r w:rsidRPr="006313E8">
        <w:rPr>
          <w:sz w:val="20"/>
          <w:szCs w:val="20"/>
          <w:lang w:val="en-US"/>
        </w:rPr>
        <w:t>2015, </w:t>
      </w:r>
      <w:r w:rsidRPr="006313E8">
        <w:rPr>
          <w:b/>
          <w:bCs/>
          <w:sz w:val="20"/>
          <w:szCs w:val="20"/>
          <w:lang w:val="en-US"/>
        </w:rPr>
        <w:t>11</w:t>
      </w:r>
      <w:r w:rsidRPr="006313E8">
        <w:rPr>
          <w:sz w:val="20"/>
          <w:szCs w:val="20"/>
          <w:lang w:val="en-US"/>
        </w:rPr>
        <w:t>(5):302-313.</w:t>
      </w:r>
      <w:r w:rsidRPr="006313E8">
        <w:rPr>
          <w:sz w:val="20"/>
          <w:szCs w:val="20"/>
        </w:rPr>
        <w:t> </w:t>
      </w:r>
    </w:p>
    <w:p w14:paraId="2F009DA2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043595B" w14:textId="263F1C79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A: </w:t>
      </w:r>
      <w:proofErr w:type="spellStart"/>
      <w:r w:rsidRPr="006313E8">
        <w:rPr>
          <w:b/>
          <w:bCs/>
          <w:sz w:val="20"/>
          <w:szCs w:val="20"/>
          <w:lang w:val="en-US"/>
        </w:rPr>
        <w:t>Forxiga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(dapagliflozin)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2020.</w:t>
      </w:r>
      <w:r w:rsidRPr="006313E8">
        <w:rPr>
          <w:sz w:val="20"/>
          <w:szCs w:val="20"/>
        </w:rPr>
        <w:t> </w:t>
      </w:r>
    </w:p>
    <w:p w14:paraId="5E341643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2C799C7" w14:textId="3C9043D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AstraZeneca: </w:t>
      </w:r>
      <w:proofErr w:type="spellStart"/>
      <w:r w:rsidRPr="006313E8">
        <w:rPr>
          <w:b/>
          <w:bCs/>
          <w:sz w:val="20"/>
          <w:szCs w:val="20"/>
          <w:lang w:val="en-US"/>
        </w:rPr>
        <w:t>Farxiga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(dapagliflozin)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US Product monograph.</w:t>
      </w:r>
      <w:r w:rsidRPr="006313E8">
        <w:rPr>
          <w:sz w:val="20"/>
          <w:szCs w:val="20"/>
          <w:lang w:val="en-US"/>
        </w:rPr>
        <w:t> 2020.</w:t>
      </w:r>
      <w:r w:rsidRPr="006313E8">
        <w:rPr>
          <w:sz w:val="20"/>
          <w:szCs w:val="20"/>
        </w:rPr>
        <w:t> </w:t>
      </w:r>
    </w:p>
    <w:p w14:paraId="0586FA5B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E633718" w14:textId="57C637A0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Boehringer_Ingelheim_Pharmaceuticals</w:t>
      </w:r>
      <w:proofErr w:type="spellEnd"/>
      <w:r w:rsidRPr="006313E8">
        <w:rPr>
          <w:sz w:val="20"/>
          <w:szCs w:val="20"/>
          <w:lang w:val="en-US"/>
        </w:rPr>
        <w:t xml:space="preserve"> IC: </w:t>
      </w:r>
      <w:r w:rsidRPr="006313E8">
        <w:rPr>
          <w:b/>
          <w:bCs/>
          <w:sz w:val="20"/>
          <w:szCs w:val="20"/>
          <w:lang w:val="en-US"/>
        </w:rPr>
        <w:t>Jardiance (Empagliflozin)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2020.</w:t>
      </w:r>
      <w:r w:rsidRPr="006313E8">
        <w:rPr>
          <w:sz w:val="20"/>
          <w:szCs w:val="20"/>
        </w:rPr>
        <w:t> </w:t>
      </w:r>
    </w:p>
    <w:p w14:paraId="6A50E5E4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F4566BE" w14:textId="376872A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Boehringer_Ingelheim_Pharmaceuticals</w:t>
      </w:r>
      <w:proofErr w:type="spellEnd"/>
      <w:r w:rsidRPr="006313E8">
        <w:rPr>
          <w:sz w:val="20"/>
          <w:szCs w:val="20"/>
          <w:lang w:val="en-US"/>
        </w:rPr>
        <w:t xml:space="preserve"> IU: </w:t>
      </w:r>
      <w:r w:rsidRPr="006313E8">
        <w:rPr>
          <w:b/>
          <w:bCs/>
          <w:sz w:val="20"/>
          <w:szCs w:val="20"/>
          <w:lang w:val="en-US"/>
        </w:rPr>
        <w:t>Jardiance (Empagliflozin)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Ridgefield, CT; 2020.</w:t>
      </w:r>
      <w:r w:rsidRPr="006313E8">
        <w:rPr>
          <w:sz w:val="20"/>
          <w:szCs w:val="20"/>
        </w:rPr>
        <w:t> </w:t>
      </w:r>
    </w:p>
    <w:p w14:paraId="3D03D9C5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14834465" w14:textId="515CB34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Provincial Academic Detailing: </w:t>
      </w:r>
      <w:r w:rsidRPr="006313E8">
        <w:rPr>
          <w:b/>
          <w:bCs/>
          <w:sz w:val="20"/>
          <w:szCs w:val="20"/>
          <w:lang w:val="en-US"/>
        </w:rPr>
        <w:t>Glucose Lowering Medications for Type 2 Diabetes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 BC Provincial Academic Detailing Service; 2015.</w:t>
      </w:r>
      <w:r w:rsidRPr="006313E8">
        <w:rPr>
          <w:sz w:val="20"/>
          <w:szCs w:val="20"/>
        </w:rPr>
        <w:t> </w:t>
      </w:r>
    </w:p>
    <w:p w14:paraId="6C55ECC0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AE3811B" w14:textId="063CAA1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Boehringer_Ingelheim_Pharmaceuticals</w:t>
      </w:r>
      <w:proofErr w:type="spellEnd"/>
      <w:r w:rsidRPr="006313E8">
        <w:rPr>
          <w:sz w:val="20"/>
          <w:szCs w:val="20"/>
          <w:lang w:val="en-US"/>
        </w:rPr>
        <w:t xml:space="preserve"> IU: </w:t>
      </w:r>
      <w:r w:rsidRPr="006313E8">
        <w:rPr>
          <w:b/>
          <w:bCs/>
          <w:sz w:val="20"/>
          <w:szCs w:val="20"/>
          <w:lang w:val="en-US"/>
        </w:rPr>
        <w:t>Empagliflozin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2018.</w:t>
      </w:r>
      <w:r w:rsidRPr="006313E8">
        <w:rPr>
          <w:sz w:val="20"/>
          <w:szCs w:val="20"/>
        </w:rPr>
        <w:t> </w:t>
      </w:r>
    </w:p>
    <w:p w14:paraId="6055A9B7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54DC94F1" w14:textId="1785253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Jardiance  [product monograph]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CPS.</w:t>
      </w:r>
      <w:r w:rsidRPr="006313E8">
        <w:rPr>
          <w:sz w:val="20"/>
          <w:szCs w:val="20"/>
          <w:lang w:val="en-US"/>
        </w:rPr>
        <w:t> Ottawa (ON): Canadian Pharmacists Association; 2017.</w:t>
      </w:r>
      <w:r w:rsidRPr="006313E8">
        <w:rPr>
          <w:sz w:val="20"/>
          <w:szCs w:val="20"/>
        </w:rPr>
        <w:t> </w:t>
      </w:r>
    </w:p>
    <w:p w14:paraId="69F20F2A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D4ABADE" w14:textId="0846A4D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Boehringer_Ingelheim_Pharmaceuticals</w:t>
      </w:r>
      <w:proofErr w:type="spellEnd"/>
      <w:r w:rsidRPr="006313E8">
        <w:rPr>
          <w:sz w:val="20"/>
          <w:szCs w:val="20"/>
          <w:lang w:val="en-US"/>
        </w:rPr>
        <w:t xml:space="preserve"> IU: </w:t>
      </w:r>
      <w:r w:rsidRPr="006313E8">
        <w:rPr>
          <w:b/>
          <w:bCs/>
          <w:sz w:val="20"/>
          <w:szCs w:val="20"/>
          <w:lang w:val="en-US"/>
        </w:rPr>
        <w:t>JARDIANCE-(</w:t>
      </w:r>
      <w:proofErr w:type="spellStart"/>
      <w:r w:rsidRPr="006313E8">
        <w:rPr>
          <w:b/>
          <w:bCs/>
          <w:sz w:val="20"/>
          <w:szCs w:val="20"/>
          <w:lang w:val="en-US"/>
        </w:rPr>
        <w:t>empagliflozin_tablet,film_coated</w:t>
      </w:r>
      <w:proofErr w:type="spellEnd"/>
      <w:r w:rsidRPr="006313E8">
        <w:rPr>
          <w:b/>
          <w:bCs/>
          <w:sz w:val="20"/>
          <w:szCs w:val="20"/>
          <w:lang w:val="en-US"/>
        </w:rPr>
        <w:t>)US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Ridgefield, CT: </w:t>
      </w:r>
      <w:proofErr w:type="spellStart"/>
      <w:r w:rsidRPr="006313E8">
        <w:rPr>
          <w:sz w:val="20"/>
          <w:szCs w:val="20"/>
          <w:lang w:val="en-US"/>
        </w:rPr>
        <w:t>Boehringer_Ingelheim_Pharmaceuticals,Inc_US</w:t>
      </w:r>
      <w:proofErr w:type="spellEnd"/>
      <w:r w:rsidRPr="006313E8">
        <w:rPr>
          <w:sz w:val="20"/>
          <w:szCs w:val="20"/>
          <w:lang w:val="en-US"/>
        </w:rPr>
        <w:t>; 2018.</w:t>
      </w:r>
      <w:r w:rsidRPr="006313E8">
        <w:rPr>
          <w:sz w:val="20"/>
          <w:szCs w:val="20"/>
        </w:rPr>
        <w:t> </w:t>
      </w:r>
    </w:p>
    <w:p w14:paraId="192E126A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6EF9DE8" w14:textId="24AEA3EF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Takeda Canada Inc: </w:t>
      </w:r>
      <w:proofErr w:type="spellStart"/>
      <w:r w:rsidRPr="006313E8">
        <w:rPr>
          <w:b/>
          <w:bCs/>
          <w:sz w:val="20"/>
          <w:szCs w:val="20"/>
          <w:lang w:val="en-US"/>
        </w:rPr>
        <w:t>Nesina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</w:t>
      </w:r>
      <w:proofErr w:type="spellStart"/>
      <w:r w:rsidRPr="006313E8">
        <w:rPr>
          <w:b/>
          <w:bCs/>
          <w:sz w:val="20"/>
          <w:szCs w:val="20"/>
          <w:lang w:val="en-US"/>
        </w:rPr>
        <w:t>Alogliptin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2021.</w:t>
      </w:r>
      <w:r w:rsidRPr="006313E8">
        <w:rPr>
          <w:sz w:val="20"/>
          <w:szCs w:val="20"/>
        </w:rPr>
        <w:t> </w:t>
      </w:r>
    </w:p>
    <w:p w14:paraId="5AD3BEAC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51899D27" w14:textId="198851FE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America TP: </w:t>
      </w:r>
      <w:proofErr w:type="spellStart"/>
      <w:r w:rsidRPr="006313E8">
        <w:rPr>
          <w:b/>
          <w:bCs/>
          <w:sz w:val="20"/>
          <w:szCs w:val="20"/>
          <w:lang w:val="en-US"/>
        </w:rPr>
        <w:t>Nesina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</w:t>
      </w:r>
      <w:proofErr w:type="spellStart"/>
      <w:r w:rsidRPr="006313E8">
        <w:rPr>
          <w:b/>
          <w:bCs/>
          <w:sz w:val="20"/>
          <w:szCs w:val="20"/>
          <w:lang w:val="en-US"/>
        </w:rPr>
        <w:t>Alogliptin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US Product Monograph.</w:t>
      </w:r>
      <w:r w:rsidRPr="006313E8">
        <w:rPr>
          <w:sz w:val="20"/>
          <w:szCs w:val="20"/>
          <w:lang w:val="en-US"/>
        </w:rPr>
        <w:t> 2021.</w:t>
      </w:r>
      <w:r w:rsidRPr="006313E8">
        <w:rPr>
          <w:sz w:val="20"/>
          <w:szCs w:val="20"/>
        </w:rPr>
        <w:t> </w:t>
      </w:r>
    </w:p>
    <w:p w14:paraId="1DBE32C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75ED323" w14:textId="7D3D87D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Detailing PA: </w:t>
      </w:r>
      <w:r w:rsidRPr="006313E8">
        <w:rPr>
          <w:b/>
          <w:bCs/>
          <w:sz w:val="20"/>
          <w:szCs w:val="20"/>
          <w:lang w:val="en-US"/>
        </w:rPr>
        <w:t>Glucose Lowering Medications for Type 2 Diabetes</w:t>
      </w:r>
      <w:r w:rsidRPr="006313E8">
        <w:rPr>
          <w:sz w:val="20"/>
          <w:szCs w:val="20"/>
          <w:lang w:val="en-US"/>
        </w:rPr>
        <w:t>. 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 BC Provincial Academic Detailing Service; 2015.</w:t>
      </w:r>
      <w:r w:rsidRPr="006313E8">
        <w:rPr>
          <w:sz w:val="20"/>
          <w:szCs w:val="20"/>
        </w:rPr>
        <w:t> </w:t>
      </w:r>
    </w:p>
    <w:p w14:paraId="3C90C953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BD6A3C1" w14:textId="3FF6BC70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BI: </w:t>
      </w:r>
      <w:proofErr w:type="spellStart"/>
      <w:r w:rsidRPr="006313E8">
        <w:rPr>
          <w:b/>
          <w:bCs/>
          <w:sz w:val="20"/>
          <w:szCs w:val="20"/>
          <w:lang w:val="en-US"/>
        </w:rPr>
        <w:t>Trajenta</w:t>
      </w:r>
      <w:proofErr w:type="spellEnd"/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Burlington, ON: Boehringer Ingelheim Canada; 2021.</w:t>
      </w:r>
      <w:r w:rsidRPr="006313E8">
        <w:rPr>
          <w:sz w:val="20"/>
          <w:szCs w:val="20"/>
        </w:rPr>
        <w:t> </w:t>
      </w:r>
    </w:p>
    <w:p w14:paraId="77A7D905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4550C3C" w14:textId="5F4C4A1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Boehringer_Ingelheim_Pharmaceuticals</w:t>
      </w:r>
      <w:proofErr w:type="spellEnd"/>
      <w:r w:rsidRPr="006313E8">
        <w:rPr>
          <w:sz w:val="20"/>
          <w:szCs w:val="20"/>
          <w:lang w:val="en-US"/>
        </w:rPr>
        <w:t xml:space="preserve"> IU: </w:t>
      </w:r>
      <w:r w:rsidRPr="006313E8">
        <w:rPr>
          <w:b/>
          <w:bCs/>
          <w:sz w:val="20"/>
          <w:szCs w:val="20"/>
          <w:lang w:val="en-US"/>
        </w:rPr>
        <w:t>TRADJENTA (</w:t>
      </w:r>
      <w:proofErr w:type="spellStart"/>
      <w:r w:rsidRPr="006313E8">
        <w:rPr>
          <w:b/>
          <w:bCs/>
          <w:sz w:val="20"/>
          <w:szCs w:val="20"/>
          <w:lang w:val="en-US"/>
        </w:rPr>
        <w:t>linagliptin_tablet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Ridgefield, CT: </w:t>
      </w:r>
      <w:proofErr w:type="spellStart"/>
      <w:r w:rsidRPr="006313E8">
        <w:rPr>
          <w:sz w:val="20"/>
          <w:szCs w:val="20"/>
          <w:lang w:val="en-US"/>
        </w:rPr>
        <w:t>Boehringer_Ingelheim_Pharmaceuticals,_Inc.US</w:t>
      </w:r>
      <w:proofErr w:type="spellEnd"/>
      <w:r w:rsidRPr="006313E8">
        <w:rPr>
          <w:sz w:val="20"/>
          <w:szCs w:val="20"/>
          <w:lang w:val="en-US"/>
        </w:rPr>
        <w:t>; 2020.</w:t>
      </w:r>
      <w:r w:rsidRPr="006313E8">
        <w:rPr>
          <w:sz w:val="20"/>
          <w:szCs w:val="20"/>
        </w:rPr>
        <w:t> </w:t>
      </w:r>
    </w:p>
    <w:p w14:paraId="0CC36B44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DC35400" w14:textId="3DD32500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Apotex</w:t>
      </w:r>
      <w:proofErr w:type="spellEnd"/>
      <w:r w:rsidRPr="006313E8">
        <w:rPr>
          <w:sz w:val="20"/>
          <w:szCs w:val="20"/>
          <w:lang w:val="en-US"/>
        </w:rPr>
        <w:t xml:space="preserve"> Inc: </w:t>
      </w:r>
      <w:r w:rsidRPr="006313E8">
        <w:rPr>
          <w:b/>
          <w:bCs/>
          <w:sz w:val="20"/>
          <w:szCs w:val="20"/>
          <w:lang w:val="en-US"/>
        </w:rPr>
        <w:t>Apo-</w:t>
      </w:r>
      <w:proofErr w:type="spellStart"/>
      <w:r w:rsidRPr="006313E8">
        <w:rPr>
          <w:b/>
          <w:bCs/>
          <w:sz w:val="20"/>
          <w:szCs w:val="20"/>
          <w:lang w:val="en-US"/>
        </w:rPr>
        <w:t>Saxagliptin</w:t>
      </w:r>
      <w:proofErr w:type="spellEnd"/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 xml:space="preserve"> Toronto, ON: </w:t>
      </w:r>
      <w:proofErr w:type="spellStart"/>
      <w:r w:rsidRPr="006313E8">
        <w:rPr>
          <w:sz w:val="20"/>
          <w:szCs w:val="20"/>
          <w:lang w:val="en-US"/>
        </w:rPr>
        <w:t>Apotex</w:t>
      </w:r>
      <w:proofErr w:type="spellEnd"/>
      <w:r w:rsidRPr="006313E8">
        <w:rPr>
          <w:sz w:val="20"/>
          <w:szCs w:val="20"/>
          <w:lang w:val="en-US"/>
        </w:rPr>
        <w:t xml:space="preserve"> Inc; 2020.</w:t>
      </w:r>
      <w:r w:rsidRPr="006313E8">
        <w:rPr>
          <w:sz w:val="20"/>
          <w:szCs w:val="20"/>
        </w:rPr>
        <w:t> </w:t>
      </w:r>
    </w:p>
    <w:p w14:paraId="683F4BD0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497A8E18" w14:textId="30283CB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Health C: </w:t>
      </w:r>
      <w:proofErr w:type="spellStart"/>
      <w:r w:rsidRPr="006313E8">
        <w:rPr>
          <w:b/>
          <w:bCs/>
          <w:sz w:val="20"/>
          <w:szCs w:val="20"/>
          <w:lang w:val="en-US"/>
        </w:rPr>
        <w:t>Onglyza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- </w:t>
      </w:r>
      <w:proofErr w:type="spellStart"/>
      <w:r w:rsidRPr="006313E8">
        <w:rPr>
          <w:b/>
          <w:bCs/>
          <w:sz w:val="20"/>
          <w:szCs w:val="20"/>
          <w:lang w:val="en-US"/>
        </w:rPr>
        <w:t>Saxagliptin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tablet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Dublin, OH: Cardinal Health; 2021.</w:t>
      </w:r>
      <w:r w:rsidRPr="006313E8">
        <w:rPr>
          <w:sz w:val="20"/>
          <w:szCs w:val="20"/>
        </w:rPr>
        <w:t> </w:t>
      </w:r>
    </w:p>
    <w:p w14:paraId="12AE2521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DA9FF90" w14:textId="70CBB1A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Merck Canada Inc: </w:t>
      </w:r>
      <w:r w:rsidRPr="006313E8">
        <w:rPr>
          <w:b/>
          <w:bCs/>
          <w:sz w:val="20"/>
          <w:szCs w:val="20"/>
          <w:lang w:val="en-US"/>
        </w:rPr>
        <w:t>Januvia (Sitagliptin)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Kirkland, QC: Merck Canada Inc; 2021.</w:t>
      </w:r>
      <w:r w:rsidRPr="006313E8">
        <w:rPr>
          <w:sz w:val="20"/>
          <w:szCs w:val="20"/>
        </w:rPr>
        <w:t> </w:t>
      </w:r>
    </w:p>
    <w:p w14:paraId="516BD070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DBE3723" w14:textId="2FD1957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Corp. MSD: </w:t>
      </w:r>
      <w:r w:rsidRPr="006313E8">
        <w:rPr>
          <w:b/>
          <w:bCs/>
          <w:sz w:val="20"/>
          <w:szCs w:val="20"/>
          <w:lang w:val="en-US"/>
        </w:rPr>
        <w:t>Januvia (Sitagliptin)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Whitehouse Station, NJ: Merck Sharp &amp; Dohme Corp.; 2020.</w:t>
      </w:r>
      <w:r w:rsidRPr="006313E8">
        <w:rPr>
          <w:sz w:val="20"/>
          <w:szCs w:val="20"/>
        </w:rPr>
        <w:t> </w:t>
      </w:r>
    </w:p>
    <w:p w14:paraId="165FB5BC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556356D" w14:textId="14702E1E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Limited TC: </w:t>
      </w:r>
      <w:r w:rsidRPr="006313E8">
        <w:rPr>
          <w:b/>
          <w:bCs/>
          <w:sz w:val="20"/>
          <w:szCs w:val="20"/>
          <w:lang w:val="en-US"/>
        </w:rPr>
        <w:t>Act-Pioglitazone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Toronto, ON: Teva Canada Limited; 2020.</w:t>
      </w:r>
      <w:r w:rsidRPr="006313E8">
        <w:rPr>
          <w:sz w:val="20"/>
          <w:szCs w:val="20"/>
        </w:rPr>
        <w:t> </w:t>
      </w:r>
    </w:p>
    <w:p w14:paraId="2EA5F5C0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574C45E0" w14:textId="0164E8F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Takeda_Pharmaceuticals_America</w:t>
      </w:r>
      <w:proofErr w:type="spellEnd"/>
      <w:r w:rsidRPr="006313E8">
        <w:rPr>
          <w:sz w:val="20"/>
          <w:szCs w:val="20"/>
          <w:lang w:val="en-US"/>
        </w:rPr>
        <w:t>_ Inc.: </w:t>
      </w:r>
      <w:r w:rsidRPr="006313E8">
        <w:rPr>
          <w:b/>
          <w:bCs/>
          <w:sz w:val="20"/>
          <w:szCs w:val="20"/>
          <w:lang w:val="en-US"/>
        </w:rPr>
        <w:t>ACTOS (</w:t>
      </w:r>
      <w:proofErr w:type="spellStart"/>
      <w:r w:rsidRPr="006313E8">
        <w:rPr>
          <w:b/>
          <w:bCs/>
          <w:sz w:val="20"/>
          <w:szCs w:val="20"/>
          <w:lang w:val="en-US"/>
        </w:rPr>
        <w:t>pioglitazone_tablet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Lexington, MA: </w:t>
      </w:r>
      <w:proofErr w:type="spellStart"/>
      <w:r w:rsidRPr="006313E8">
        <w:rPr>
          <w:sz w:val="20"/>
          <w:szCs w:val="20"/>
          <w:lang w:val="en-US"/>
        </w:rPr>
        <w:t>Takeda_Pharmaceuticals_America</w:t>
      </w:r>
      <w:proofErr w:type="spellEnd"/>
      <w:r w:rsidRPr="006313E8">
        <w:rPr>
          <w:sz w:val="20"/>
          <w:szCs w:val="20"/>
          <w:lang w:val="en-US"/>
        </w:rPr>
        <w:t>_ Inc.; 2021.</w:t>
      </w:r>
      <w:r w:rsidRPr="006313E8">
        <w:rPr>
          <w:sz w:val="20"/>
          <w:szCs w:val="20"/>
        </w:rPr>
        <w:t> </w:t>
      </w:r>
    </w:p>
    <w:p w14:paraId="174A321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42193D2" w14:textId="14AEA99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AA Pharma Inc: </w:t>
      </w:r>
      <w:r w:rsidRPr="006313E8">
        <w:rPr>
          <w:b/>
          <w:bCs/>
          <w:sz w:val="20"/>
          <w:szCs w:val="20"/>
          <w:lang w:val="en-US"/>
        </w:rPr>
        <w:t>Rosiglitazone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Vaughan, ON: AA Pharma Inc; 2019.</w:t>
      </w:r>
      <w:r w:rsidRPr="006313E8">
        <w:rPr>
          <w:sz w:val="20"/>
          <w:szCs w:val="20"/>
        </w:rPr>
        <w:t> </w:t>
      </w:r>
    </w:p>
    <w:p w14:paraId="0BACDB47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73092EA" w14:textId="755161E6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LLC G: </w:t>
      </w:r>
      <w:r w:rsidRPr="006313E8">
        <w:rPr>
          <w:b/>
          <w:bCs/>
          <w:sz w:val="20"/>
          <w:szCs w:val="20"/>
          <w:lang w:val="en-US"/>
        </w:rPr>
        <w:t>Avandia (Rosiglitazone)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Research Triangle Park, NC: GlaxoSmithKline LLC; 2020.</w:t>
      </w:r>
      <w:r w:rsidRPr="006313E8">
        <w:rPr>
          <w:sz w:val="20"/>
          <w:szCs w:val="20"/>
        </w:rPr>
        <w:t> </w:t>
      </w:r>
    </w:p>
    <w:p w14:paraId="4E25A16D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5D80FA9D" w14:textId="3A0B39B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Health S: </w:t>
      </w:r>
      <w:r w:rsidRPr="006313E8">
        <w:rPr>
          <w:b/>
          <w:bCs/>
          <w:sz w:val="20"/>
          <w:szCs w:val="20"/>
          <w:lang w:val="en-US"/>
        </w:rPr>
        <w:t>Gliclazide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Brampton, ON; 2020.</w:t>
      </w:r>
      <w:r w:rsidRPr="006313E8">
        <w:rPr>
          <w:sz w:val="20"/>
          <w:szCs w:val="20"/>
        </w:rPr>
        <w:t> </w:t>
      </w:r>
    </w:p>
    <w:p w14:paraId="5BB2CC38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81B508C" w14:textId="75C3B88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S: </w:t>
      </w:r>
      <w:proofErr w:type="spellStart"/>
      <w:r w:rsidRPr="006313E8">
        <w:rPr>
          <w:b/>
          <w:bCs/>
          <w:sz w:val="20"/>
          <w:szCs w:val="20"/>
          <w:lang w:val="en-US"/>
        </w:rPr>
        <w:t>Diamicron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MR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Laval, QC; 2018.</w:t>
      </w:r>
      <w:r w:rsidRPr="006313E8">
        <w:rPr>
          <w:sz w:val="20"/>
          <w:szCs w:val="20"/>
        </w:rPr>
        <w:t> </w:t>
      </w:r>
    </w:p>
    <w:p w14:paraId="708BB0D1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AEDD9D6" w14:textId="39703F4A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b/>
          <w:bCs/>
          <w:sz w:val="20"/>
          <w:szCs w:val="20"/>
          <w:lang w:val="en-US"/>
        </w:rPr>
        <w:t>Adult Drug Book </w:t>
      </w:r>
      <w:r w:rsidRPr="006313E8">
        <w:rPr>
          <w:sz w:val="20"/>
          <w:szCs w:val="20"/>
          <w:lang w:val="en-US"/>
        </w:rPr>
        <w:t>In</w:t>
      </w:r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: University of Louisville, Division of Nephrology, Kidney Disease Program; 2020.</w:t>
      </w:r>
      <w:r w:rsidRPr="006313E8">
        <w:rPr>
          <w:sz w:val="20"/>
          <w:szCs w:val="20"/>
        </w:rPr>
        <w:t> </w:t>
      </w:r>
    </w:p>
    <w:p w14:paraId="2238BD52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1CAAB73" w14:textId="69D5799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S: </w:t>
      </w:r>
      <w:proofErr w:type="spellStart"/>
      <w:r w:rsidRPr="006313E8">
        <w:rPr>
          <w:b/>
          <w:bCs/>
          <w:sz w:val="20"/>
          <w:szCs w:val="20"/>
          <w:lang w:val="en-US"/>
        </w:rPr>
        <w:t>Diamicron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MR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Product Monograph.</w:t>
      </w:r>
      <w:r w:rsidRPr="006313E8">
        <w:rPr>
          <w:sz w:val="20"/>
          <w:szCs w:val="20"/>
          <w:lang w:val="en-US"/>
        </w:rPr>
        <w:t> Laval, QC; 2016.</w:t>
      </w:r>
      <w:r w:rsidRPr="006313E8">
        <w:rPr>
          <w:sz w:val="20"/>
          <w:szCs w:val="20"/>
        </w:rPr>
        <w:t> </w:t>
      </w:r>
    </w:p>
    <w:p w14:paraId="3DA68CB1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7204A46" w14:textId="76B034F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S: </w:t>
      </w:r>
      <w:proofErr w:type="spellStart"/>
      <w:r w:rsidRPr="006313E8">
        <w:rPr>
          <w:b/>
          <w:bCs/>
          <w:sz w:val="20"/>
          <w:szCs w:val="20"/>
          <w:lang w:val="en-US"/>
        </w:rPr>
        <w:t>Diamicron</w:t>
      </w:r>
      <w:proofErr w:type="spellEnd"/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Product Monograph.</w:t>
      </w:r>
      <w:r w:rsidRPr="006313E8">
        <w:rPr>
          <w:sz w:val="20"/>
          <w:szCs w:val="20"/>
          <w:lang w:val="en-US"/>
        </w:rPr>
        <w:t> Laval, QC; 2016.</w:t>
      </w:r>
      <w:r w:rsidRPr="006313E8">
        <w:rPr>
          <w:sz w:val="20"/>
          <w:szCs w:val="20"/>
        </w:rPr>
        <w:t> </w:t>
      </w:r>
    </w:p>
    <w:p w14:paraId="60EC71C5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CCE1DB1" w14:textId="483CCC9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Sandoz Canada Inc: </w:t>
      </w:r>
      <w:r w:rsidRPr="006313E8">
        <w:rPr>
          <w:b/>
          <w:bCs/>
          <w:sz w:val="20"/>
          <w:szCs w:val="20"/>
          <w:lang w:val="en-US"/>
        </w:rPr>
        <w:t>Sandoz Glimepiride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Boucherville, QC; 2021.</w:t>
      </w:r>
      <w:r w:rsidRPr="006313E8">
        <w:rPr>
          <w:sz w:val="20"/>
          <w:szCs w:val="20"/>
        </w:rPr>
        <w:t> </w:t>
      </w:r>
    </w:p>
    <w:p w14:paraId="5F811930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A560D55" w14:textId="1880E37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US SH: </w:t>
      </w:r>
      <w:r w:rsidRPr="006313E8">
        <w:rPr>
          <w:b/>
          <w:bCs/>
          <w:sz w:val="20"/>
          <w:szCs w:val="20"/>
          <w:lang w:val="en-US"/>
        </w:rPr>
        <w:t>Glimepiride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Somerset, NJ: </w:t>
      </w:r>
      <w:proofErr w:type="spellStart"/>
      <w:r w:rsidRPr="006313E8">
        <w:rPr>
          <w:sz w:val="20"/>
          <w:szCs w:val="20"/>
          <w:lang w:val="en-US"/>
        </w:rPr>
        <w:t>Solco</w:t>
      </w:r>
      <w:proofErr w:type="spellEnd"/>
      <w:r w:rsidRPr="006313E8">
        <w:rPr>
          <w:sz w:val="20"/>
          <w:szCs w:val="20"/>
          <w:lang w:val="en-US"/>
        </w:rPr>
        <w:t xml:space="preserve"> Healthcare US; 2021.</w:t>
      </w:r>
      <w:r w:rsidRPr="006313E8">
        <w:rPr>
          <w:sz w:val="20"/>
          <w:szCs w:val="20"/>
        </w:rPr>
        <w:t> </w:t>
      </w:r>
    </w:p>
    <w:p w14:paraId="23A33BE0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124A3D70" w14:textId="0D0E955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LTEE PD: </w:t>
      </w:r>
      <w:r w:rsidRPr="006313E8">
        <w:rPr>
          <w:b/>
          <w:bCs/>
          <w:sz w:val="20"/>
          <w:szCs w:val="20"/>
          <w:lang w:val="en-US"/>
        </w:rPr>
        <w:t>Glyburide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Laval, QC: Pro Doc LTEE; 2019.</w:t>
      </w:r>
      <w:r w:rsidRPr="006313E8">
        <w:rPr>
          <w:sz w:val="20"/>
          <w:szCs w:val="20"/>
        </w:rPr>
        <w:t> </w:t>
      </w:r>
    </w:p>
    <w:p w14:paraId="0384CB88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4523B712" w14:textId="5CD792FF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Heritage Pharmaceuticals Inc: </w:t>
      </w:r>
      <w:r w:rsidRPr="006313E8">
        <w:rPr>
          <w:b/>
          <w:bCs/>
          <w:sz w:val="20"/>
          <w:szCs w:val="20"/>
          <w:lang w:val="en-US"/>
        </w:rPr>
        <w:t>Glyburide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East Brunswick, NJ: Heritage Pharmaceuticals Inc; 2021.</w:t>
      </w:r>
      <w:r w:rsidRPr="006313E8">
        <w:rPr>
          <w:sz w:val="20"/>
          <w:szCs w:val="20"/>
        </w:rPr>
        <w:t> </w:t>
      </w:r>
    </w:p>
    <w:p w14:paraId="552F279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6330F06" w14:textId="7C38F132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Pharmacia_and_Upjohn_Co_U.S</w:t>
      </w:r>
      <w:proofErr w:type="spellEnd"/>
      <w:r w:rsidRPr="006313E8">
        <w:rPr>
          <w:sz w:val="20"/>
          <w:szCs w:val="20"/>
          <w:lang w:val="en-US"/>
        </w:rPr>
        <w:t>.: </w:t>
      </w:r>
      <w:proofErr w:type="spellStart"/>
      <w:r w:rsidRPr="006313E8">
        <w:rPr>
          <w:b/>
          <w:bCs/>
          <w:sz w:val="20"/>
          <w:szCs w:val="20"/>
          <w:lang w:val="en-US"/>
        </w:rPr>
        <w:t>Glynase</w:t>
      </w:r>
      <w:proofErr w:type="spellEnd"/>
      <w:r w:rsidRPr="006313E8">
        <w:rPr>
          <w:b/>
          <w:bCs/>
          <w:sz w:val="20"/>
          <w:szCs w:val="20"/>
          <w:lang w:val="en-US"/>
        </w:rPr>
        <w:t>- (glyburide)US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NY, NY: </w:t>
      </w:r>
      <w:proofErr w:type="spellStart"/>
      <w:r w:rsidRPr="006313E8">
        <w:rPr>
          <w:sz w:val="20"/>
          <w:szCs w:val="20"/>
          <w:lang w:val="en-US"/>
        </w:rPr>
        <w:t>Pharmacia_and_Upjohn_Co_U.S</w:t>
      </w:r>
      <w:proofErr w:type="spellEnd"/>
      <w:r w:rsidRPr="006313E8">
        <w:rPr>
          <w:sz w:val="20"/>
          <w:szCs w:val="20"/>
          <w:lang w:val="en-US"/>
        </w:rPr>
        <w:t>.; 2018.</w:t>
      </w:r>
      <w:r w:rsidRPr="006313E8">
        <w:rPr>
          <w:sz w:val="20"/>
          <w:szCs w:val="20"/>
        </w:rPr>
        <w:t> </w:t>
      </w:r>
    </w:p>
    <w:p w14:paraId="2F8A046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FD418B7" w14:textId="4F7A31DD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Limited TC: </w:t>
      </w:r>
      <w:r w:rsidRPr="006313E8">
        <w:rPr>
          <w:b/>
          <w:bCs/>
          <w:sz w:val="20"/>
          <w:szCs w:val="20"/>
          <w:lang w:val="en-US"/>
        </w:rPr>
        <w:t>ACT REPAGLINIDE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Toronto, ON; 2020.</w:t>
      </w:r>
      <w:r w:rsidRPr="006313E8">
        <w:rPr>
          <w:sz w:val="20"/>
          <w:szCs w:val="20"/>
        </w:rPr>
        <w:t> </w:t>
      </w:r>
    </w:p>
    <w:p w14:paraId="1DD7D5FC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6C525E2" w14:textId="53DC3316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lastRenderedPageBreak/>
        <w:t>Pharmaceutical B: </w:t>
      </w:r>
      <w:r w:rsidRPr="006313E8">
        <w:rPr>
          <w:b/>
          <w:bCs/>
          <w:sz w:val="20"/>
          <w:szCs w:val="20"/>
          <w:lang w:val="en-US"/>
        </w:rPr>
        <w:t>Repaglinide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Berlin, CT; 2020.</w:t>
      </w:r>
      <w:r w:rsidRPr="006313E8">
        <w:rPr>
          <w:sz w:val="20"/>
          <w:szCs w:val="20"/>
        </w:rPr>
        <w:t> </w:t>
      </w:r>
    </w:p>
    <w:p w14:paraId="41A0C389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444B1D40" w14:textId="1C6E6D0F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SP: </w:t>
      </w:r>
      <w:r w:rsidRPr="006313E8">
        <w:rPr>
          <w:b/>
          <w:bCs/>
          <w:sz w:val="20"/>
          <w:szCs w:val="20"/>
          <w:lang w:val="en-US"/>
        </w:rPr>
        <w:t>Acarbose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Oakville, ON: Strides Pharma Canada; 2019.</w:t>
      </w:r>
      <w:r w:rsidRPr="006313E8">
        <w:rPr>
          <w:sz w:val="20"/>
          <w:szCs w:val="20"/>
        </w:rPr>
        <w:t> </w:t>
      </w:r>
    </w:p>
    <w:p w14:paraId="535A8CE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10AE0B67" w14:textId="02038E8C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Pharmaceuticals H: </w:t>
      </w:r>
      <w:r w:rsidRPr="006313E8">
        <w:rPr>
          <w:b/>
          <w:bCs/>
          <w:sz w:val="20"/>
          <w:szCs w:val="20"/>
          <w:lang w:val="en-US"/>
        </w:rPr>
        <w:t>Acarbose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East Brunswick, NJ; 2021.</w:t>
      </w:r>
      <w:r w:rsidRPr="006313E8">
        <w:rPr>
          <w:sz w:val="20"/>
          <w:szCs w:val="20"/>
        </w:rPr>
        <w:t> </w:t>
      </w:r>
    </w:p>
    <w:p w14:paraId="5D8041F0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FF81826" w14:textId="572D4AB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NN: </w:t>
      </w:r>
      <w:r w:rsidRPr="006313E8">
        <w:rPr>
          <w:b/>
          <w:bCs/>
          <w:sz w:val="20"/>
          <w:szCs w:val="20"/>
          <w:lang w:val="en-US"/>
        </w:rPr>
        <w:t xml:space="preserve">Tresiba - insulin </w:t>
      </w:r>
      <w:proofErr w:type="spellStart"/>
      <w:r w:rsidRPr="006313E8">
        <w:rPr>
          <w:b/>
          <w:bCs/>
          <w:sz w:val="20"/>
          <w:szCs w:val="20"/>
          <w:lang w:val="en-US"/>
        </w:rPr>
        <w:t>degludec</w:t>
      </w:r>
      <w:proofErr w:type="spellEnd"/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Mississauga, ON: Novo Nordisk Canada; 2021.</w:t>
      </w:r>
      <w:r w:rsidRPr="006313E8">
        <w:rPr>
          <w:sz w:val="20"/>
          <w:szCs w:val="20"/>
        </w:rPr>
        <w:t> </w:t>
      </w:r>
    </w:p>
    <w:p w14:paraId="7F97EA4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BC370AC" w14:textId="24AF7D5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Nordisk N: </w:t>
      </w:r>
      <w:r w:rsidRPr="006313E8">
        <w:rPr>
          <w:b/>
          <w:bCs/>
          <w:sz w:val="20"/>
          <w:szCs w:val="20"/>
          <w:lang w:val="en-US"/>
        </w:rPr>
        <w:t xml:space="preserve">Tresiba - insulin </w:t>
      </w:r>
      <w:proofErr w:type="spellStart"/>
      <w:r w:rsidRPr="006313E8">
        <w:rPr>
          <w:b/>
          <w:bCs/>
          <w:sz w:val="20"/>
          <w:szCs w:val="20"/>
          <w:lang w:val="en-US"/>
        </w:rPr>
        <w:t>degludec</w:t>
      </w:r>
      <w:proofErr w:type="spellEnd"/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Plainsboro, NJ: Novo Nordisk; 2019.</w:t>
      </w:r>
      <w:r w:rsidRPr="006313E8">
        <w:rPr>
          <w:sz w:val="20"/>
          <w:szCs w:val="20"/>
        </w:rPr>
        <w:t> </w:t>
      </w:r>
    </w:p>
    <w:p w14:paraId="7B67C63F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43C674E3" w14:textId="2C0B54A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Terra </w:t>
      </w:r>
      <w:proofErr w:type="spellStart"/>
      <w:r w:rsidRPr="006313E8">
        <w:rPr>
          <w:sz w:val="20"/>
          <w:szCs w:val="20"/>
          <w:lang w:val="en-US"/>
        </w:rPr>
        <w:t>Arnason</w:t>
      </w:r>
      <w:proofErr w:type="spellEnd"/>
      <w:r w:rsidRPr="006313E8">
        <w:rPr>
          <w:sz w:val="20"/>
          <w:szCs w:val="20"/>
          <w:lang w:val="en-US"/>
        </w:rPr>
        <w:t xml:space="preserve"> KM: </w:t>
      </w:r>
      <w:r w:rsidRPr="006313E8">
        <w:rPr>
          <w:b/>
          <w:bCs/>
          <w:sz w:val="20"/>
          <w:szCs w:val="20"/>
          <w:lang w:val="en-US"/>
        </w:rPr>
        <w:t>Diabetes Mellitus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Compendium of Therapeutic Choices.</w:t>
      </w:r>
      <w:r w:rsidRPr="006313E8">
        <w:rPr>
          <w:sz w:val="20"/>
          <w:szCs w:val="20"/>
          <w:lang w:val="en-US"/>
        </w:rPr>
        <w:t xml:space="preserve"> February 2019 </w:t>
      </w:r>
      <w:proofErr w:type="spellStart"/>
      <w:r w:rsidRPr="006313E8">
        <w:rPr>
          <w:sz w:val="20"/>
          <w:szCs w:val="20"/>
          <w:lang w:val="en-US"/>
        </w:rPr>
        <w:t>edn</w:t>
      </w:r>
      <w:proofErr w:type="spellEnd"/>
      <w:r w:rsidRPr="006313E8">
        <w:rPr>
          <w:sz w:val="20"/>
          <w:szCs w:val="20"/>
          <w:lang w:val="en-US"/>
        </w:rPr>
        <w:t>. Ottawa, Ontario: Canadian Pharmacists Association 2019.</w:t>
      </w:r>
      <w:r w:rsidRPr="006313E8">
        <w:rPr>
          <w:sz w:val="20"/>
          <w:szCs w:val="20"/>
        </w:rPr>
        <w:t> </w:t>
      </w:r>
    </w:p>
    <w:p w14:paraId="49BAF75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F7F12CA" w14:textId="30F469B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Canada NN: </w:t>
      </w:r>
      <w:r w:rsidRPr="006313E8">
        <w:rPr>
          <w:b/>
          <w:bCs/>
          <w:sz w:val="20"/>
          <w:szCs w:val="20"/>
          <w:lang w:val="en-US"/>
        </w:rPr>
        <w:t>Levemir (</w:t>
      </w:r>
      <w:proofErr w:type="spellStart"/>
      <w:r w:rsidRPr="006313E8">
        <w:rPr>
          <w:b/>
          <w:bCs/>
          <w:sz w:val="20"/>
          <w:szCs w:val="20"/>
          <w:lang w:val="en-US"/>
        </w:rPr>
        <w:t>Insulin_detemir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Mississauga, Ontario Novo Nordisk Canada Inc; 2021.</w:t>
      </w:r>
      <w:r w:rsidRPr="006313E8">
        <w:rPr>
          <w:sz w:val="20"/>
          <w:szCs w:val="20"/>
        </w:rPr>
        <w:t> </w:t>
      </w:r>
    </w:p>
    <w:p w14:paraId="2B886EB1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9009F8F" w14:textId="6B18290E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Nordisk N: </w:t>
      </w:r>
      <w:r w:rsidRPr="006313E8">
        <w:rPr>
          <w:b/>
          <w:bCs/>
          <w:sz w:val="20"/>
          <w:szCs w:val="20"/>
          <w:lang w:val="en-US"/>
        </w:rPr>
        <w:t>Levemir (</w:t>
      </w:r>
      <w:proofErr w:type="spellStart"/>
      <w:r w:rsidRPr="006313E8">
        <w:rPr>
          <w:b/>
          <w:bCs/>
          <w:sz w:val="20"/>
          <w:szCs w:val="20"/>
          <w:lang w:val="en-US"/>
        </w:rPr>
        <w:t>Insulin_detemir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Princeton, New Jersey Novo Nordisk; 2021.</w:t>
      </w:r>
      <w:r w:rsidRPr="006313E8">
        <w:rPr>
          <w:sz w:val="20"/>
          <w:szCs w:val="20"/>
        </w:rPr>
        <w:t> </w:t>
      </w:r>
    </w:p>
    <w:p w14:paraId="18EC0123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7F5F20F" w14:textId="29C3CC5B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Canadian_Agency_for_Drugs_and_Technologies_in_Health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Guide to Starting and Adjusting Insulin for Type 2 Diabetes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CADTH Reports.</w:t>
      </w:r>
      <w:r w:rsidRPr="006313E8">
        <w:rPr>
          <w:sz w:val="20"/>
          <w:szCs w:val="20"/>
          <w:lang w:val="en-US"/>
        </w:rPr>
        <w:t xml:space="preserve"> Ottawa, Ontario: </w:t>
      </w:r>
      <w:proofErr w:type="spellStart"/>
      <w:r w:rsidRPr="006313E8">
        <w:rPr>
          <w:sz w:val="20"/>
          <w:szCs w:val="20"/>
          <w:lang w:val="en-US"/>
        </w:rPr>
        <w:t>Canadian_Agency_for_Drugs_and_Technologies_in_Health</w:t>
      </w:r>
      <w:proofErr w:type="spellEnd"/>
      <w:r w:rsidRPr="006313E8">
        <w:rPr>
          <w:sz w:val="20"/>
          <w:szCs w:val="20"/>
          <w:lang w:val="en-US"/>
        </w:rPr>
        <w:t>; 2012.</w:t>
      </w:r>
      <w:r w:rsidRPr="006313E8">
        <w:rPr>
          <w:sz w:val="20"/>
          <w:szCs w:val="20"/>
        </w:rPr>
        <w:t> </w:t>
      </w:r>
    </w:p>
    <w:p w14:paraId="578381D2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15423BB" w14:textId="7B0B5B1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Diabetes_Canada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Insulin Prescription Tool for Healthcare Providers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Health-Care Provider Tools.</w:t>
      </w:r>
      <w:r w:rsidRPr="006313E8">
        <w:rPr>
          <w:sz w:val="20"/>
          <w:szCs w:val="20"/>
          <w:lang w:val="en-US"/>
        </w:rPr>
        <w:t xml:space="preserve"> Toronto, Ontario: </w:t>
      </w:r>
      <w:proofErr w:type="spellStart"/>
      <w:r w:rsidRPr="006313E8">
        <w:rPr>
          <w:sz w:val="20"/>
          <w:szCs w:val="20"/>
          <w:lang w:val="en-US"/>
        </w:rPr>
        <w:t>Diabetes_Canada</w:t>
      </w:r>
      <w:proofErr w:type="spellEnd"/>
      <w:r w:rsidRPr="006313E8">
        <w:rPr>
          <w:sz w:val="20"/>
          <w:szCs w:val="20"/>
          <w:lang w:val="en-US"/>
        </w:rPr>
        <w:t>; 2017.</w:t>
      </w:r>
      <w:r w:rsidRPr="006313E8">
        <w:rPr>
          <w:sz w:val="20"/>
          <w:szCs w:val="20"/>
        </w:rPr>
        <w:t> </w:t>
      </w:r>
    </w:p>
    <w:p w14:paraId="7DB1D19F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3EBA78E" w14:textId="29E4469C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US NN: </w:t>
      </w:r>
      <w:r w:rsidRPr="006313E8">
        <w:rPr>
          <w:b/>
          <w:bCs/>
          <w:sz w:val="20"/>
          <w:szCs w:val="20"/>
          <w:lang w:val="en-US"/>
        </w:rPr>
        <w:t>Levemir_(</w:t>
      </w:r>
      <w:proofErr w:type="spellStart"/>
      <w:r w:rsidRPr="006313E8">
        <w:rPr>
          <w:b/>
          <w:bCs/>
          <w:sz w:val="20"/>
          <w:szCs w:val="20"/>
          <w:lang w:val="en-US"/>
        </w:rPr>
        <w:t>Insulin_detemir</w:t>
      </w:r>
      <w:proofErr w:type="spellEnd"/>
      <w:r w:rsidRPr="006313E8">
        <w:rPr>
          <w:b/>
          <w:bCs/>
          <w:sz w:val="20"/>
          <w:szCs w:val="20"/>
          <w:lang w:val="en-US"/>
        </w:rPr>
        <w:t>)_US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Princeton, New Jersey Novo Nordisk Canada Inc; 2019.</w:t>
      </w:r>
      <w:r w:rsidRPr="006313E8">
        <w:rPr>
          <w:sz w:val="20"/>
          <w:szCs w:val="20"/>
        </w:rPr>
        <w:t> </w:t>
      </w:r>
    </w:p>
    <w:p w14:paraId="35759614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287DEA2" w14:textId="105CD0D5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Canadian_Pharmacists_Association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Dosage Adjustment in Renal Impairment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Therapeutics.</w:t>
      </w:r>
      <w:r w:rsidRPr="006313E8">
        <w:rPr>
          <w:sz w:val="20"/>
          <w:szCs w:val="20"/>
          <w:lang w:val="en-US"/>
        </w:rPr>
        <w:t xml:space="preserve"> Ottawa, Ontario: </w:t>
      </w:r>
      <w:proofErr w:type="spellStart"/>
      <w:r w:rsidRPr="006313E8">
        <w:rPr>
          <w:sz w:val="20"/>
          <w:szCs w:val="20"/>
          <w:lang w:val="en-US"/>
        </w:rPr>
        <w:t>Canadian_Pharmacists_Association</w:t>
      </w:r>
      <w:proofErr w:type="spellEnd"/>
      <w:r w:rsidRPr="006313E8">
        <w:rPr>
          <w:sz w:val="20"/>
          <w:szCs w:val="20"/>
          <w:lang w:val="en-US"/>
        </w:rPr>
        <w:t>; 2018.</w:t>
      </w:r>
      <w:r w:rsidRPr="006313E8">
        <w:rPr>
          <w:sz w:val="20"/>
          <w:szCs w:val="20"/>
        </w:rPr>
        <w:t> </w:t>
      </w:r>
    </w:p>
    <w:p w14:paraId="53C439A5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174C3FF" w14:textId="581B476C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National_Institutes_of_Health</w:t>
      </w:r>
      <w:proofErr w:type="spellEnd"/>
      <w:r w:rsidRPr="006313E8">
        <w:rPr>
          <w:sz w:val="20"/>
          <w:szCs w:val="20"/>
          <w:lang w:val="en-US"/>
        </w:rPr>
        <w:t>(USA): </w:t>
      </w:r>
      <w:proofErr w:type="spellStart"/>
      <w:r w:rsidRPr="006313E8">
        <w:rPr>
          <w:b/>
          <w:bCs/>
          <w:sz w:val="20"/>
          <w:szCs w:val="20"/>
          <w:lang w:val="en-US"/>
        </w:rPr>
        <w:t>Insulin_LiverTox</w:t>
      </w:r>
      <w:proofErr w:type="spellEnd"/>
      <w:r w:rsidRPr="006313E8">
        <w:rPr>
          <w:sz w:val="20"/>
          <w:szCs w:val="20"/>
          <w:lang w:val="en-US"/>
        </w:rPr>
        <w:t>. In: </w:t>
      </w:r>
      <w:proofErr w:type="spellStart"/>
      <w:r w:rsidRPr="006313E8">
        <w:rPr>
          <w:i/>
          <w:iCs/>
          <w:sz w:val="20"/>
          <w:szCs w:val="20"/>
          <w:lang w:val="en-US"/>
        </w:rPr>
        <w:t>LiverTox</w:t>
      </w:r>
      <w:proofErr w:type="spellEnd"/>
      <w:r w:rsidRPr="006313E8">
        <w:rPr>
          <w:i/>
          <w:iCs/>
          <w:sz w:val="20"/>
          <w:szCs w:val="20"/>
          <w:lang w:val="en-US"/>
        </w:rPr>
        <w:t>.</w:t>
      </w:r>
      <w:r w:rsidRPr="006313E8">
        <w:rPr>
          <w:sz w:val="20"/>
          <w:szCs w:val="20"/>
          <w:lang w:val="en-US"/>
        </w:rPr>
        <w:t> Bethesda, MD: U.S. National Library of Medicine; 2018.</w:t>
      </w:r>
      <w:r w:rsidRPr="006313E8">
        <w:rPr>
          <w:sz w:val="20"/>
          <w:szCs w:val="20"/>
        </w:rPr>
        <w:t> </w:t>
      </w:r>
    </w:p>
    <w:p w14:paraId="298FE54F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178FCAA2" w14:textId="22F36D87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Eli Lilly Canada Inc: </w:t>
      </w:r>
      <w:proofErr w:type="spellStart"/>
      <w:r w:rsidRPr="006313E8">
        <w:rPr>
          <w:b/>
          <w:bCs/>
          <w:sz w:val="20"/>
          <w:szCs w:val="20"/>
          <w:lang w:val="en-US"/>
        </w:rPr>
        <w:t>Basaglar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(Insulin Glargine)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Toronto, ON: Eli Lilly Canada; 2021.</w:t>
      </w:r>
      <w:r w:rsidRPr="006313E8">
        <w:rPr>
          <w:sz w:val="20"/>
          <w:szCs w:val="20"/>
        </w:rPr>
        <w:t> </w:t>
      </w:r>
    </w:p>
    <w:p w14:paraId="6FBD9C1F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25D56C9" w14:textId="7670F13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Company </w:t>
      </w:r>
      <w:proofErr w:type="spellStart"/>
      <w:r w:rsidRPr="006313E8">
        <w:rPr>
          <w:sz w:val="20"/>
          <w:szCs w:val="20"/>
          <w:lang w:val="en-US"/>
        </w:rPr>
        <w:t>ELa</w:t>
      </w:r>
      <w:proofErr w:type="spellEnd"/>
      <w:r w:rsidRPr="006313E8">
        <w:rPr>
          <w:sz w:val="20"/>
          <w:szCs w:val="20"/>
          <w:lang w:val="en-US"/>
        </w:rPr>
        <w:t>: </w:t>
      </w:r>
      <w:proofErr w:type="spellStart"/>
      <w:r w:rsidRPr="006313E8">
        <w:rPr>
          <w:b/>
          <w:bCs/>
          <w:sz w:val="20"/>
          <w:szCs w:val="20"/>
          <w:lang w:val="en-US"/>
        </w:rPr>
        <w:t>Basaglar</w:t>
      </w:r>
      <w:proofErr w:type="spellEnd"/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Indianapolis, IN: Eli Lilly and Company; 2021.</w:t>
      </w:r>
      <w:r w:rsidRPr="006313E8">
        <w:rPr>
          <w:sz w:val="20"/>
          <w:szCs w:val="20"/>
        </w:rPr>
        <w:t> </w:t>
      </w:r>
    </w:p>
    <w:p w14:paraId="65E1CFF2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51D71DC2" w14:textId="03BB629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ELI_LILLY_Canada</w:t>
      </w:r>
      <w:proofErr w:type="spellEnd"/>
      <w:r w:rsidRPr="006313E8">
        <w:rPr>
          <w:sz w:val="20"/>
          <w:szCs w:val="20"/>
          <w:lang w:val="en-US"/>
        </w:rPr>
        <w:t>: </w:t>
      </w:r>
      <w:proofErr w:type="spellStart"/>
      <w:r w:rsidRPr="006313E8">
        <w:rPr>
          <w:b/>
          <w:bCs/>
          <w:sz w:val="20"/>
          <w:szCs w:val="20"/>
          <w:lang w:val="en-US"/>
        </w:rPr>
        <w:t>Basaglar</w:t>
      </w:r>
      <w:proofErr w:type="spellEnd"/>
      <w:r w:rsidRPr="006313E8">
        <w:rPr>
          <w:b/>
          <w:bCs/>
          <w:sz w:val="20"/>
          <w:szCs w:val="20"/>
          <w:lang w:val="en-US"/>
        </w:rPr>
        <w:t>_(</w:t>
      </w:r>
      <w:proofErr w:type="spellStart"/>
      <w:r w:rsidRPr="006313E8">
        <w:rPr>
          <w:b/>
          <w:bCs/>
          <w:sz w:val="20"/>
          <w:szCs w:val="20"/>
          <w:lang w:val="en-US"/>
        </w:rPr>
        <w:t>Insulin_glargine</w:t>
      </w:r>
      <w:proofErr w:type="spellEnd"/>
      <w:r w:rsidRPr="006313E8">
        <w:rPr>
          <w:b/>
          <w:bCs/>
          <w:sz w:val="20"/>
          <w:szCs w:val="20"/>
          <w:lang w:val="en-US"/>
        </w:rPr>
        <w:t>)_CA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CDN Product Monograph.</w:t>
      </w:r>
      <w:r w:rsidRPr="006313E8">
        <w:rPr>
          <w:sz w:val="20"/>
          <w:szCs w:val="20"/>
          <w:lang w:val="en-US"/>
        </w:rPr>
        <w:t xml:space="preserve"> Scarborough, Ontario: </w:t>
      </w:r>
      <w:proofErr w:type="spellStart"/>
      <w:r w:rsidRPr="006313E8">
        <w:rPr>
          <w:sz w:val="20"/>
          <w:szCs w:val="20"/>
          <w:lang w:val="en-US"/>
        </w:rPr>
        <w:t>ELI_LILLY_Canada</w:t>
      </w:r>
      <w:proofErr w:type="spellEnd"/>
      <w:r w:rsidRPr="006313E8">
        <w:rPr>
          <w:sz w:val="20"/>
          <w:szCs w:val="20"/>
          <w:lang w:val="en-US"/>
        </w:rPr>
        <w:t>; 2016.</w:t>
      </w:r>
      <w:r w:rsidRPr="006313E8">
        <w:rPr>
          <w:sz w:val="20"/>
          <w:szCs w:val="20"/>
        </w:rPr>
        <w:t> </w:t>
      </w:r>
    </w:p>
    <w:p w14:paraId="46C10887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449D72EC" w14:textId="4131AA16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LILLY_USA: </w:t>
      </w:r>
      <w:proofErr w:type="spellStart"/>
      <w:r w:rsidRPr="006313E8">
        <w:rPr>
          <w:b/>
          <w:bCs/>
          <w:sz w:val="20"/>
          <w:szCs w:val="20"/>
          <w:lang w:val="en-US"/>
        </w:rPr>
        <w:t>Basaglar</w:t>
      </w:r>
      <w:proofErr w:type="spellEnd"/>
      <w:r w:rsidRPr="006313E8">
        <w:rPr>
          <w:b/>
          <w:bCs/>
          <w:sz w:val="20"/>
          <w:szCs w:val="20"/>
          <w:lang w:val="en-US"/>
        </w:rPr>
        <w:t>_(</w:t>
      </w:r>
      <w:proofErr w:type="spellStart"/>
      <w:r w:rsidRPr="006313E8">
        <w:rPr>
          <w:b/>
          <w:bCs/>
          <w:sz w:val="20"/>
          <w:szCs w:val="20"/>
          <w:lang w:val="en-US"/>
        </w:rPr>
        <w:t>Insulin_glargine</w:t>
      </w:r>
      <w:proofErr w:type="spellEnd"/>
      <w:r w:rsidRPr="006313E8">
        <w:rPr>
          <w:b/>
          <w:bCs/>
          <w:sz w:val="20"/>
          <w:szCs w:val="20"/>
          <w:lang w:val="en-US"/>
        </w:rPr>
        <w:t>)_US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Indianapolis, IN LILLY_USA; 2018.</w:t>
      </w:r>
      <w:r w:rsidRPr="006313E8">
        <w:rPr>
          <w:sz w:val="20"/>
          <w:szCs w:val="20"/>
        </w:rPr>
        <w:t> </w:t>
      </w:r>
    </w:p>
    <w:p w14:paraId="2956D879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74E913D" w14:textId="7DA7138F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ELI_LILLY_Canada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Humulin R, Humulin N, Humulin 30/70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 xml:space="preserve"> Toronto, Ontario: </w:t>
      </w:r>
      <w:proofErr w:type="spellStart"/>
      <w:r w:rsidRPr="006313E8">
        <w:rPr>
          <w:sz w:val="20"/>
          <w:szCs w:val="20"/>
          <w:lang w:val="en-US"/>
        </w:rPr>
        <w:t>ELI_LILLY_Canada</w:t>
      </w:r>
      <w:proofErr w:type="spellEnd"/>
      <w:r w:rsidRPr="006313E8">
        <w:rPr>
          <w:sz w:val="20"/>
          <w:szCs w:val="20"/>
          <w:lang w:val="en-US"/>
        </w:rPr>
        <w:t>; 2021.</w:t>
      </w:r>
      <w:r w:rsidRPr="006313E8">
        <w:rPr>
          <w:sz w:val="20"/>
          <w:szCs w:val="20"/>
        </w:rPr>
        <w:t> </w:t>
      </w:r>
    </w:p>
    <w:p w14:paraId="0DA655AE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4C26B244" w14:textId="3D7CD0A2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lastRenderedPageBreak/>
        <w:t xml:space="preserve">Company </w:t>
      </w:r>
      <w:proofErr w:type="spellStart"/>
      <w:r w:rsidRPr="006313E8">
        <w:rPr>
          <w:sz w:val="20"/>
          <w:szCs w:val="20"/>
          <w:lang w:val="en-US"/>
        </w:rPr>
        <w:t>ELa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Humulin N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Indianapolis, IN; 2020.</w:t>
      </w:r>
      <w:r w:rsidRPr="006313E8">
        <w:rPr>
          <w:sz w:val="20"/>
          <w:szCs w:val="20"/>
        </w:rPr>
        <w:t> </w:t>
      </w:r>
    </w:p>
    <w:p w14:paraId="785CB256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391C422" w14:textId="2987AD72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Novo_Nordisk_Canada</w:t>
      </w:r>
      <w:proofErr w:type="spellEnd"/>
      <w:r w:rsidRPr="006313E8">
        <w:rPr>
          <w:sz w:val="20"/>
          <w:szCs w:val="20"/>
          <w:lang w:val="en-US"/>
        </w:rPr>
        <w:t>: </w:t>
      </w:r>
      <w:proofErr w:type="spellStart"/>
      <w:r w:rsidRPr="006313E8">
        <w:rPr>
          <w:b/>
          <w:bCs/>
          <w:sz w:val="20"/>
          <w:szCs w:val="20"/>
          <w:lang w:val="en-US"/>
        </w:rPr>
        <w:t>Fiasp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- Insulin </w:t>
      </w:r>
      <w:proofErr w:type="spellStart"/>
      <w:r w:rsidRPr="006313E8">
        <w:rPr>
          <w:b/>
          <w:bCs/>
          <w:sz w:val="20"/>
          <w:szCs w:val="20"/>
          <w:lang w:val="en-US"/>
        </w:rPr>
        <w:t>aspart</w:t>
      </w:r>
      <w:proofErr w:type="spellEnd"/>
      <w:r w:rsidRPr="006313E8">
        <w:rPr>
          <w:b/>
          <w:bCs/>
          <w:sz w:val="20"/>
          <w:szCs w:val="20"/>
          <w:lang w:val="en-US"/>
        </w:rPr>
        <w:t> </w:t>
      </w:r>
      <w:r w:rsidRPr="006313E8">
        <w:rPr>
          <w:sz w:val="20"/>
          <w:szCs w:val="20"/>
          <w:lang w:val="en-US"/>
        </w:rPr>
        <w:t>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> Mississauga, Ontario: Novo Nordisk Canada Inc. ; 2020.</w:t>
      </w:r>
      <w:r w:rsidRPr="006313E8">
        <w:rPr>
          <w:sz w:val="20"/>
          <w:szCs w:val="20"/>
        </w:rPr>
        <w:t> </w:t>
      </w:r>
    </w:p>
    <w:p w14:paraId="5515B991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A1DEF46" w14:textId="17328521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Novo_Nordisk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 xml:space="preserve">Novolog - insulin </w:t>
      </w:r>
      <w:proofErr w:type="spellStart"/>
      <w:r w:rsidRPr="006313E8">
        <w:rPr>
          <w:b/>
          <w:bCs/>
          <w:sz w:val="20"/>
          <w:szCs w:val="20"/>
          <w:lang w:val="en-US"/>
        </w:rPr>
        <w:t>aspart</w:t>
      </w:r>
      <w:proofErr w:type="spellEnd"/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US Product Monograph.</w:t>
      </w:r>
      <w:r w:rsidRPr="006313E8">
        <w:rPr>
          <w:sz w:val="20"/>
          <w:szCs w:val="20"/>
          <w:lang w:val="en-US"/>
        </w:rPr>
        <w:t> Plainsboro, NJ: Novo Nordisk; 2021.</w:t>
      </w:r>
      <w:r w:rsidRPr="006313E8">
        <w:rPr>
          <w:sz w:val="20"/>
          <w:szCs w:val="20"/>
        </w:rPr>
        <w:t> </w:t>
      </w:r>
    </w:p>
    <w:p w14:paraId="082A0E72" w14:textId="77777777" w:rsidR="00C81BCF" w:rsidRPr="00C81BCF" w:rsidRDefault="00C81BCF" w:rsidP="00C81BCF">
      <w:pPr>
        <w:rPr>
          <w:sz w:val="20"/>
          <w:szCs w:val="20"/>
        </w:rPr>
      </w:pPr>
    </w:p>
    <w:p w14:paraId="3970F645" w14:textId="1693551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Sanofi-</w:t>
      </w:r>
      <w:proofErr w:type="spellStart"/>
      <w:r w:rsidRPr="006313E8">
        <w:rPr>
          <w:sz w:val="20"/>
          <w:szCs w:val="20"/>
          <w:lang w:val="en-US"/>
        </w:rPr>
        <w:t>Aventis_Canada_Inc</w:t>
      </w:r>
      <w:proofErr w:type="spellEnd"/>
      <w:r w:rsidRPr="006313E8">
        <w:rPr>
          <w:sz w:val="20"/>
          <w:szCs w:val="20"/>
          <w:lang w:val="en-US"/>
        </w:rPr>
        <w:t>.: </w:t>
      </w:r>
      <w:proofErr w:type="spellStart"/>
      <w:r w:rsidRPr="006313E8">
        <w:rPr>
          <w:b/>
          <w:bCs/>
          <w:sz w:val="20"/>
          <w:szCs w:val="20"/>
          <w:lang w:val="en-US"/>
        </w:rPr>
        <w:t>Apidra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(insulin </w:t>
      </w:r>
      <w:proofErr w:type="spellStart"/>
      <w:r w:rsidRPr="006313E8">
        <w:rPr>
          <w:b/>
          <w:bCs/>
          <w:sz w:val="20"/>
          <w:szCs w:val="20"/>
          <w:lang w:val="en-US"/>
        </w:rPr>
        <w:t>glulisine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 xml:space="preserve"> Laval, QC: </w:t>
      </w:r>
      <w:proofErr w:type="spellStart"/>
      <w:r w:rsidRPr="006313E8">
        <w:rPr>
          <w:sz w:val="20"/>
          <w:szCs w:val="20"/>
          <w:lang w:val="en-US"/>
        </w:rPr>
        <w:t>sanofi-aventis</w:t>
      </w:r>
      <w:proofErr w:type="spellEnd"/>
      <w:r w:rsidRPr="006313E8">
        <w:rPr>
          <w:sz w:val="20"/>
          <w:szCs w:val="20"/>
          <w:lang w:val="en-US"/>
        </w:rPr>
        <w:t xml:space="preserve"> Canada Inc. ; 2021.</w:t>
      </w:r>
      <w:r w:rsidRPr="006313E8">
        <w:rPr>
          <w:sz w:val="20"/>
          <w:szCs w:val="20"/>
        </w:rPr>
        <w:t> </w:t>
      </w:r>
    </w:p>
    <w:p w14:paraId="2D337120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DA4847E" w14:textId="79F980EA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U.S. S-A: </w:t>
      </w:r>
      <w:proofErr w:type="spellStart"/>
      <w:r w:rsidRPr="006313E8">
        <w:rPr>
          <w:b/>
          <w:bCs/>
          <w:sz w:val="20"/>
          <w:szCs w:val="20"/>
          <w:lang w:val="en-US"/>
        </w:rPr>
        <w:t>Apidra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(insulin </w:t>
      </w:r>
      <w:proofErr w:type="spellStart"/>
      <w:r w:rsidRPr="006313E8">
        <w:rPr>
          <w:b/>
          <w:bCs/>
          <w:sz w:val="20"/>
          <w:szCs w:val="20"/>
          <w:lang w:val="en-US"/>
        </w:rPr>
        <w:t>glulisine</w:t>
      </w:r>
      <w:proofErr w:type="spellEnd"/>
      <w:r w:rsidRPr="006313E8">
        <w:rPr>
          <w:b/>
          <w:bCs/>
          <w:sz w:val="20"/>
          <w:szCs w:val="20"/>
          <w:lang w:val="en-US"/>
        </w:rPr>
        <w:t>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Bridgewater, NJ: Sanofi-Aventis U.S.; 2020.</w:t>
      </w:r>
      <w:r w:rsidRPr="006313E8">
        <w:rPr>
          <w:sz w:val="20"/>
          <w:szCs w:val="20"/>
        </w:rPr>
        <w:t> </w:t>
      </w:r>
    </w:p>
    <w:p w14:paraId="73D391F5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B7B9DED" w14:textId="34B9AA6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ELI_LILLY_Canada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Humalog_(</w:t>
      </w:r>
      <w:proofErr w:type="spellStart"/>
      <w:r w:rsidRPr="006313E8">
        <w:rPr>
          <w:b/>
          <w:bCs/>
          <w:sz w:val="20"/>
          <w:szCs w:val="20"/>
          <w:lang w:val="en-US"/>
        </w:rPr>
        <w:t>Insulin_lispro</w:t>
      </w:r>
      <w:proofErr w:type="spellEnd"/>
      <w:r w:rsidRPr="006313E8">
        <w:rPr>
          <w:b/>
          <w:bCs/>
          <w:sz w:val="20"/>
          <w:szCs w:val="20"/>
          <w:lang w:val="en-US"/>
        </w:rPr>
        <w:t>)_CA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CDN Product Monograph.</w:t>
      </w:r>
      <w:r w:rsidRPr="006313E8">
        <w:rPr>
          <w:sz w:val="20"/>
          <w:szCs w:val="20"/>
          <w:lang w:val="en-US"/>
        </w:rPr>
        <w:t xml:space="preserve"> Toronto, ON: </w:t>
      </w:r>
      <w:proofErr w:type="spellStart"/>
      <w:r w:rsidRPr="006313E8">
        <w:rPr>
          <w:sz w:val="20"/>
          <w:szCs w:val="20"/>
          <w:lang w:val="en-US"/>
        </w:rPr>
        <w:t>ELI_LILLY_Canada</w:t>
      </w:r>
      <w:proofErr w:type="spellEnd"/>
      <w:r w:rsidRPr="006313E8">
        <w:rPr>
          <w:sz w:val="20"/>
          <w:szCs w:val="20"/>
          <w:lang w:val="en-US"/>
        </w:rPr>
        <w:t>; 2021.</w:t>
      </w:r>
      <w:r w:rsidRPr="006313E8">
        <w:rPr>
          <w:sz w:val="20"/>
          <w:szCs w:val="20"/>
        </w:rPr>
        <w:t> </w:t>
      </w:r>
    </w:p>
    <w:p w14:paraId="51CB293A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00668A3B" w14:textId="3E6C6A2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Company </w:t>
      </w:r>
      <w:proofErr w:type="spellStart"/>
      <w:r w:rsidRPr="006313E8">
        <w:rPr>
          <w:sz w:val="20"/>
          <w:szCs w:val="20"/>
          <w:lang w:val="en-US"/>
        </w:rPr>
        <w:t>ELa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Humalog (insulin lispro)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</w:t>
      </w:r>
      <w:proofErr w:type="spellStart"/>
      <w:r w:rsidRPr="006313E8">
        <w:rPr>
          <w:sz w:val="20"/>
          <w:szCs w:val="20"/>
          <w:lang w:val="en-US"/>
        </w:rPr>
        <w:t>Indianopolis</w:t>
      </w:r>
      <w:proofErr w:type="spellEnd"/>
      <w:r w:rsidRPr="006313E8">
        <w:rPr>
          <w:sz w:val="20"/>
          <w:szCs w:val="20"/>
          <w:lang w:val="en-US"/>
        </w:rPr>
        <w:t>, IN: Eli Lilly and Company; 2021.</w:t>
      </w:r>
      <w:r w:rsidRPr="006313E8">
        <w:rPr>
          <w:sz w:val="20"/>
          <w:szCs w:val="20"/>
        </w:rPr>
        <w:t> </w:t>
      </w:r>
    </w:p>
    <w:p w14:paraId="6030B4C7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78D1BA18" w14:textId="47941DFE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Company </w:t>
      </w:r>
      <w:proofErr w:type="spellStart"/>
      <w:r w:rsidRPr="006313E8">
        <w:rPr>
          <w:sz w:val="20"/>
          <w:szCs w:val="20"/>
          <w:lang w:val="en-US"/>
        </w:rPr>
        <w:t>ELa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Humulin R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Indianapolis, IN: Eli Lilly and Company; 2020.</w:t>
      </w:r>
      <w:r w:rsidRPr="006313E8">
        <w:rPr>
          <w:sz w:val="20"/>
          <w:szCs w:val="20"/>
        </w:rPr>
        <w:t> </w:t>
      </w:r>
    </w:p>
    <w:p w14:paraId="3D3ED758" w14:textId="77777777" w:rsidR="00C81BCF" w:rsidRPr="00C81BCF" w:rsidRDefault="00C81BCF" w:rsidP="00C81BCF">
      <w:pPr>
        <w:pStyle w:val="ListParagraph"/>
        <w:rPr>
          <w:sz w:val="20"/>
          <w:szCs w:val="20"/>
        </w:rPr>
      </w:pPr>
    </w:p>
    <w:p w14:paraId="184F821A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0DD218F" w14:textId="19F166E9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Corporation M: </w:t>
      </w:r>
      <w:proofErr w:type="spellStart"/>
      <w:r w:rsidRPr="006313E8">
        <w:rPr>
          <w:b/>
          <w:bCs/>
          <w:sz w:val="20"/>
          <w:szCs w:val="20"/>
          <w:lang w:val="en-US"/>
        </w:rPr>
        <w:t>Afrezza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(insulin human powder)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 xml:space="preserve"> Danbury, CT: </w:t>
      </w:r>
      <w:proofErr w:type="spellStart"/>
      <w:r w:rsidRPr="006313E8">
        <w:rPr>
          <w:sz w:val="20"/>
          <w:szCs w:val="20"/>
          <w:lang w:val="en-US"/>
        </w:rPr>
        <w:t>Mannkind</w:t>
      </w:r>
      <w:proofErr w:type="spellEnd"/>
      <w:r w:rsidRPr="006313E8">
        <w:rPr>
          <w:sz w:val="20"/>
          <w:szCs w:val="20"/>
          <w:lang w:val="en-US"/>
        </w:rPr>
        <w:t xml:space="preserve"> Corporation; 2021.</w:t>
      </w:r>
      <w:r w:rsidRPr="006313E8">
        <w:rPr>
          <w:sz w:val="20"/>
          <w:szCs w:val="20"/>
        </w:rPr>
        <w:t> </w:t>
      </w:r>
    </w:p>
    <w:p w14:paraId="5D05B137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5E5D2FF5" w14:textId="662AA7C6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Eli Lilly and Company: </w:t>
      </w:r>
      <w:r w:rsidRPr="006313E8">
        <w:rPr>
          <w:b/>
          <w:bCs/>
          <w:sz w:val="20"/>
          <w:szCs w:val="20"/>
          <w:lang w:val="en-US"/>
        </w:rPr>
        <w:t>Humulin 70/30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US Product Monograph.</w:t>
      </w:r>
      <w:r w:rsidRPr="006313E8">
        <w:rPr>
          <w:sz w:val="20"/>
          <w:szCs w:val="20"/>
          <w:lang w:val="en-US"/>
        </w:rPr>
        <w:t> Indianapolis, IN: Eli Lilly and Company; 2020.</w:t>
      </w:r>
      <w:r w:rsidRPr="006313E8">
        <w:rPr>
          <w:sz w:val="20"/>
          <w:szCs w:val="20"/>
        </w:rPr>
        <w:t> </w:t>
      </w:r>
    </w:p>
    <w:p w14:paraId="0D734381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3805AF02" w14:textId="34598AC4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American Diabetes Association: </w:t>
      </w:r>
      <w:r w:rsidRPr="006313E8">
        <w:rPr>
          <w:b/>
          <w:bCs/>
          <w:sz w:val="20"/>
          <w:szCs w:val="20"/>
          <w:lang w:val="en-US"/>
        </w:rPr>
        <w:t>9. Pharmacologic Approaches to Glycemic Treatment: Standards of Medical Care in Diabetes-2021</w:t>
      </w:r>
      <w:r w:rsidRPr="006313E8">
        <w:rPr>
          <w:sz w:val="20"/>
          <w:szCs w:val="20"/>
          <w:lang w:val="en-US"/>
        </w:rPr>
        <w:t>. </w:t>
      </w:r>
      <w:r w:rsidRPr="006313E8">
        <w:rPr>
          <w:i/>
          <w:iCs/>
          <w:sz w:val="20"/>
          <w:szCs w:val="20"/>
          <w:lang w:val="en-US"/>
        </w:rPr>
        <w:t>Diabetes Care </w:t>
      </w:r>
      <w:r w:rsidRPr="006313E8">
        <w:rPr>
          <w:sz w:val="20"/>
          <w:szCs w:val="20"/>
          <w:lang w:val="en-US"/>
        </w:rPr>
        <w:t>2021, </w:t>
      </w:r>
      <w:r w:rsidRPr="006313E8">
        <w:rPr>
          <w:b/>
          <w:bCs/>
          <w:sz w:val="20"/>
          <w:szCs w:val="20"/>
          <w:lang w:val="en-US"/>
        </w:rPr>
        <w:t>44</w:t>
      </w:r>
      <w:r w:rsidRPr="006313E8">
        <w:rPr>
          <w:sz w:val="20"/>
          <w:szCs w:val="20"/>
          <w:lang w:val="en-US"/>
        </w:rPr>
        <w:t>(Suppl 1):S111-s124.</w:t>
      </w:r>
      <w:r w:rsidRPr="006313E8">
        <w:rPr>
          <w:sz w:val="20"/>
          <w:szCs w:val="20"/>
        </w:rPr>
        <w:t> </w:t>
      </w:r>
    </w:p>
    <w:p w14:paraId="6A2D47DC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4D17B3DF" w14:textId="1467D3A8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Novo_Nordisk_Canada_Inc.: </w:t>
      </w:r>
      <w:r w:rsidRPr="006313E8">
        <w:rPr>
          <w:b/>
          <w:bCs/>
          <w:sz w:val="20"/>
          <w:szCs w:val="20"/>
          <w:lang w:val="en-US"/>
        </w:rPr>
        <w:t>NovoMix_30_(insulin_aspart_aspart_protamine)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CA Product Monograph.</w:t>
      </w:r>
      <w:r w:rsidRPr="006313E8">
        <w:rPr>
          <w:sz w:val="20"/>
          <w:szCs w:val="20"/>
          <w:lang w:val="en-US"/>
        </w:rPr>
        <w:t xml:space="preserve"> Mississauga, Ontario </w:t>
      </w:r>
      <w:proofErr w:type="spellStart"/>
      <w:r w:rsidRPr="006313E8">
        <w:rPr>
          <w:sz w:val="20"/>
          <w:szCs w:val="20"/>
          <w:lang w:val="en-US"/>
        </w:rPr>
        <w:t>Novo_Nordisk_Canada_Inc</w:t>
      </w:r>
      <w:proofErr w:type="spellEnd"/>
      <w:r w:rsidRPr="006313E8">
        <w:rPr>
          <w:sz w:val="20"/>
          <w:szCs w:val="20"/>
          <w:lang w:val="en-US"/>
        </w:rPr>
        <w:t>.; 2021.</w:t>
      </w:r>
      <w:r w:rsidRPr="006313E8">
        <w:rPr>
          <w:sz w:val="20"/>
          <w:szCs w:val="20"/>
        </w:rPr>
        <w:t> </w:t>
      </w:r>
    </w:p>
    <w:p w14:paraId="6E2FA1A8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15C4B2E" w14:textId="3E1068D6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>Novo Nordisk Pharma Inc: </w:t>
      </w:r>
      <w:r w:rsidRPr="006313E8">
        <w:rPr>
          <w:b/>
          <w:bCs/>
          <w:sz w:val="20"/>
          <w:szCs w:val="20"/>
          <w:lang w:val="en-US"/>
        </w:rPr>
        <w:t xml:space="preserve">Insulin </w:t>
      </w:r>
      <w:proofErr w:type="spellStart"/>
      <w:r w:rsidRPr="006313E8">
        <w:rPr>
          <w:b/>
          <w:bCs/>
          <w:sz w:val="20"/>
          <w:szCs w:val="20"/>
          <w:lang w:val="en-US"/>
        </w:rPr>
        <w:t>Aspart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Protamine and Insulin </w:t>
      </w:r>
      <w:proofErr w:type="spellStart"/>
      <w:r w:rsidRPr="006313E8">
        <w:rPr>
          <w:b/>
          <w:bCs/>
          <w:sz w:val="20"/>
          <w:szCs w:val="20"/>
          <w:lang w:val="en-US"/>
        </w:rPr>
        <w:t>Aspart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Mix 70/30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US Product Monograph.</w:t>
      </w:r>
      <w:r w:rsidRPr="006313E8">
        <w:rPr>
          <w:sz w:val="20"/>
          <w:szCs w:val="20"/>
          <w:lang w:val="en-US"/>
        </w:rPr>
        <w:t> Plainsboro, NJ: Novo Nordisk Pharma Inc; 2020.</w:t>
      </w:r>
      <w:r w:rsidRPr="006313E8">
        <w:rPr>
          <w:sz w:val="20"/>
          <w:szCs w:val="20"/>
        </w:rPr>
        <w:t> </w:t>
      </w:r>
    </w:p>
    <w:p w14:paraId="1692AF9D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6CBCDD07" w14:textId="75643A83" w:rsid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proofErr w:type="spellStart"/>
      <w:r w:rsidRPr="006313E8">
        <w:rPr>
          <w:sz w:val="20"/>
          <w:szCs w:val="20"/>
          <w:lang w:val="en-US"/>
        </w:rPr>
        <w:t>ELI_LILLY_Canada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Humalog_(</w:t>
      </w:r>
      <w:proofErr w:type="spellStart"/>
      <w:r w:rsidRPr="006313E8">
        <w:rPr>
          <w:b/>
          <w:bCs/>
          <w:sz w:val="20"/>
          <w:szCs w:val="20"/>
          <w:lang w:val="en-US"/>
        </w:rPr>
        <w:t>Insulin_lispro</w:t>
      </w:r>
      <w:proofErr w:type="spellEnd"/>
      <w:r w:rsidRPr="006313E8">
        <w:rPr>
          <w:b/>
          <w:bCs/>
          <w:sz w:val="20"/>
          <w:szCs w:val="20"/>
          <w:lang w:val="en-US"/>
        </w:rPr>
        <w:t xml:space="preserve"> Insulin Lispro Protamine)_CA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CDN Product Monograph.</w:t>
      </w:r>
      <w:r w:rsidRPr="006313E8">
        <w:rPr>
          <w:sz w:val="20"/>
          <w:szCs w:val="20"/>
          <w:lang w:val="en-US"/>
        </w:rPr>
        <w:t xml:space="preserve"> Toronto, ON: </w:t>
      </w:r>
      <w:proofErr w:type="spellStart"/>
      <w:r w:rsidRPr="006313E8">
        <w:rPr>
          <w:sz w:val="20"/>
          <w:szCs w:val="20"/>
          <w:lang w:val="en-US"/>
        </w:rPr>
        <w:t>ELI_LILLY_Canada</w:t>
      </w:r>
      <w:proofErr w:type="spellEnd"/>
      <w:r w:rsidRPr="006313E8">
        <w:rPr>
          <w:sz w:val="20"/>
          <w:szCs w:val="20"/>
          <w:lang w:val="en-US"/>
        </w:rPr>
        <w:t>; 2021.</w:t>
      </w:r>
      <w:r w:rsidRPr="006313E8">
        <w:rPr>
          <w:sz w:val="20"/>
          <w:szCs w:val="20"/>
        </w:rPr>
        <w:t> </w:t>
      </w:r>
    </w:p>
    <w:p w14:paraId="2125B152" w14:textId="77777777" w:rsidR="00C81BCF" w:rsidRPr="006313E8" w:rsidRDefault="00C81BCF" w:rsidP="00C81BCF">
      <w:pPr>
        <w:pStyle w:val="ListParagraph"/>
        <w:ind w:left="851"/>
        <w:rPr>
          <w:sz w:val="20"/>
          <w:szCs w:val="20"/>
        </w:rPr>
      </w:pPr>
    </w:p>
    <w:p w14:paraId="24785406" w14:textId="74A1F745" w:rsidR="006313E8" w:rsidRPr="006313E8" w:rsidRDefault="006313E8" w:rsidP="00CF2D71">
      <w:pPr>
        <w:pStyle w:val="ListParagraph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6313E8">
        <w:rPr>
          <w:sz w:val="20"/>
          <w:szCs w:val="20"/>
          <w:lang w:val="en-US"/>
        </w:rPr>
        <w:t xml:space="preserve">Company </w:t>
      </w:r>
      <w:proofErr w:type="spellStart"/>
      <w:r w:rsidRPr="006313E8">
        <w:rPr>
          <w:sz w:val="20"/>
          <w:szCs w:val="20"/>
          <w:lang w:val="en-US"/>
        </w:rPr>
        <w:t>ELa</w:t>
      </w:r>
      <w:proofErr w:type="spellEnd"/>
      <w:r w:rsidRPr="006313E8">
        <w:rPr>
          <w:sz w:val="20"/>
          <w:szCs w:val="20"/>
          <w:lang w:val="en-US"/>
        </w:rPr>
        <w:t>: </w:t>
      </w:r>
      <w:r w:rsidRPr="006313E8">
        <w:rPr>
          <w:b/>
          <w:bCs/>
          <w:sz w:val="20"/>
          <w:szCs w:val="20"/>
          <w:lang w:val="en-US"/>
        </w:rPr>
        <w:t>Humalog Mix 50/50 (Insulin lispro insulin lispro protamine)</w:t>
      </w:r>
      <w:r w:rsidRPr="006313E8">
        <w:rPr>
          <w:sz w:val="20"/>
          <w:szCs w:val="20"/>
          <w:lang w:val="en-US"/>
        </w:rPr>
        <w:t>. In: </w:t>
      </w:r>
      <w:r w:rsidRPr="006313E8">
        <w:rPr>
          <w:i/>
          <w:iCs/>
          <w:sz w:val="20"/>
          <w:szCs w:val="20"/>
          <w:lang w:val="en-US"/>
        </w:rPr>
        <w:t>FDA Product Monograph.</w:t>
      </w:r>
      <w:r w:rsidRPr="006313E8">
        <w:rPr>
          <w:sz w:val="20"/>
          <w:szCs w:val="20"/>
          <w:lang w:val="en-US"/>
        </w:rPr>
        <w:t> Indianapolis, IN: Eli Lilly and Company; 2021.</w:t>
      </w:r>
      <w:r w:rsidRPr="006313E8">
        <w:rPr>
          <w:sz w:val="20"/>
          <w:szCs w:val="20"/>
        </w:rPr>
        <w:t> </w:t>
      </w:r>
    </w:p>
    <w:p w14:paraId="303FAD08" w14:textId="77777777" w:rsidR="006313E8" w:rsidRDefault="006313E8" w:rsidP="006313E8"/>
    <w:sectPr w:rsidR="006313E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8D24" w14:textId="77777777" w:rsidR="006313E8" w:rsidRDefault="006313E8" w:rsidP="006313E8">
      <w:r>
        <w:separator/>
      </w:r>
    </w:p>
  </w:endnote>
  <w:endnote w:type="continuationSeparator" w:id="0">
    <w:p w14:paraId="3D7C05FE" w14:textId="77777777" w:rsidR="006313E8" w:rsidRDefault="006313E8" w:rsidP="0063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A6F3" w14:textId="6F397F1A" w:rsidR="006313E8" w:rsidRDefault="006313E8">
    <w:pPr>
      <w:pStyle w:val="Footer"/>
    </w:pPr>
    <w:proofErr w:type="spellStart"/>
    <w:r w:rsidRPr="006313E8">
      <w:t>GenXys</w:t>
    </w:r>
    <w:proofErr w:type="spellEnd"/>
    <w:r w:rsidRPr="006313E8">
      <w:t xml:space="preserve"> Health Care Systems Inc.</w:t>
    </w:r>
    <w:r>
      <w:ptab w:relativeTo="margin" w:alignment="center" w:leader="none"/>
    </w:r>
    <w:r w:rsidRPr="006313E8">
      <w:t>Commercial in Confidence</w:t>
    </w:r>
    <w:r>
      <w:ptab w:relativeTo="margin" w:alignment="right" w:leader="none"/>
    </w:r>
    <w: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7771" w14:textId="77777777" w:rsidR="006313E8" w:rsidRDefault="006313E8" w:rsidP="006313E8">
      <w:r>
        <w:separator/>
      </w:r>
    </w:p>
  </w:footnote>
  <w:footnote w:type="continuationSeparator" w:id="0">
    <w:p w14:paraId="480E0E7B" w14:textId="77777777" w:rsidR="006313E8" w:rsidRDefault="006313E8" w:rsidP="0063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1D28" w14:textId="57E8350D" w:rsidR="006313E8" w:rsidRDefault="006313E8">
    <w:pPr>
      <w:pStyle w:val="Header"/>
    </w:pPr>
    <w:r>
      <w:rPr>
        <w:noProof/>
      </w:rPr>
      <w:drawing>
        <wp:inline distT="0" distB="0" distL="0" distR="0" wp14:anchorId="02482398" wp14:editId="1A588378">
          <wp:extent cx="1888067" cy="608175"/>
          <wp:effectExtent l="0" t="0" r="4445" b="190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249" cy="61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D2042" w14:textId="77777777" w:rsidR="006313E8" w:rsidRDefault="00631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830D6"/>
    <w:multiLevelType w:val="hybridMultilevel"/>
    <w:tmpl w:val="AA006DF2"/>
    <w:lvl w:ilvl="0" w:tplc="9B48C3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F9C"/>
    <w:multiLevelType w:val="hybridMultilevel"/>
    <w:tmpl w:val="0F800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E8"/>
    <w:rsid w:val="00102710"/>
    <w:rsid w:val="004D3A04"/>
    <w:rsid w:val="006313E8"/>
    <w:rsid w:val="007F0901"/>
    <w:rsid w:val="00AA41DA"/>
    <w:rsid w:val="00AF398E"/>
    <w:rsid w:val="00BF298B"/>
    <w:rsid w:val="00C81BCF"/>
    <w:rsid w:val="00CF2D71"/>
    <w:rsid w:val="00E81DB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113C"/>
  <w15:chartTrackingRefBased/>
  <w15:docId w15:val="{89254B0A-13FC-1248-B338-E6E419E8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3E8"/>
  </w:style>
  <w:style w:type="paragraph" w:styleId="Footer">
    <w:name w:val="footer"/>
    <w:basedOn w:val="Normal"/>
    <w:link w:val="FooterChar"/>
    <w:uiPriority w:val="99"/>
    <w:unhideWhenUsed/>
    <w:rsid w:val="00631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E8"/>
  </w:style>
  <w:style w:type="character" w:styleId="Hyperlink">
    <w:name w:val="Hyperlink"/>
    <w:basedOn w:val="DefaultParagraphFont"/>
    <w:uiPriority w:val="99"/>
    <w:unhideWhenUsed/>
    <w:rsid w:val="00631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3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1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gov.bc.ca/assets/gov/health/practitioner-pro/provincial-academic-detailing-service/pad_glucose_lowering_medications_book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 Cheng</dc:creator>
  <cp:keywords/>
  <dc:description/>
  <cp:lastModifiedBy>Manning Cheng</cp:lastModifiedBy>
  <cp:revision>7</cp:revision>
  <dcterms:created xsi:type="dcterms:W3CDTF">2021-10-18T22:08:00Z</dcterms:created>
  <dcterms:modified xsi:type="dcterms:W3CDTF">2021-10-18T22:42:00Z</dcterms:modified>
</cp:coreProperties>
</file>